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48369848" w:displacedByCustomXml="next"/>
    <w:sdt>
      <w:sdtPr>
        <w:id w:val="-1220899982"/>
        <w:docPartObj>
          <w:docPartGallery w:val="Cover Pages"/>
          <w:docPartUnique/>
        </w:docPartObj>
      </w:sdtPr>
      <w:sdtContent>
        <w:p w14:paraId="675AB94C" w14:textId="26F31BD0" w:rsidR="00E50264" w:rsidRDefault="00E50264" w:rsidP="00C23B5D">
          <w:pPr>
            <w:rPr>
              <w:sz w:val="24"/>
              <w:szCs w:val="24"/>
            </w:rPr>
          </w:pPr>
        </w:p>
        <w:p w14:paraId="41D31378" w14:textId="14813E8E" w:rsidR="00AA050C" w:rsidRDefault="00000000" w:rsidP="00EB30CB"/>
      </w:sdtContent>
    </w:sdt>
    <w:bookmarkEnd w:id="0" w:displacedByCustomXml="prev"/>
    <w:p w14:paraId="12AA77B4" w14:textId="4CC0A8E6" w:rsidR="00AA050C" w:rsidRDefault="00103E55" w:rsidP="00EB30CB">
      <w:r>
        <w:rPr>
          <w:noProof/>
        </w:rPr>
        <w:drawing>
          <wp:inline distT="0" distB="0" distL="0" distR="0" wp14:anchorId="161C501B" wp14:editId="06FB308E">
            <wp:extent cx="10041614" cy="5648325"/>
            <wp:effectExtent l="0" t="0" r="0" b="0"/>
            <wp:docPr id="121863920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208"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0049986" cy="5653034"/>
                    </a:xfrm>
                    <a:prstGeom prst="rect">
                      <a:avLst/>
                    </a:prstGeom>
                  </pic:spPr>
                </pic:pic>
              </a:graphicData>
            </a:graphic>
          </wp:inline>
        </w:drawing>
      </w:r>
    </w:p>
    <w:p w14:paraId="012FD4C4" w14:textId="77777777" w:rsidR="00103E55" w:rsidRDefault="00103E55" w:rsidP="00EB30CB"/>
    <w:p w14:paraId="27038E3E" w14:textId="7CD352ED" w:rsidR="00EC434F" w:rsidRDefault="00087AC7" w:rsidP="00EB30CB">
      <w:r>
        <w:rPr>
          <w:noProof/>
        </w:rPr>
        <w:lastRenderedPageBreak/>
        <w:drawing>
          <wp:inline distT="0" distB="0" distL="0" distR="0" wp14:anchorId="7A35E900" wp14:editId="4283C54C">
            <wp:extent cx="9420225" cy="5616575"/>
            <wp:effectExtent l="0" t="0" r="9525" b="3175"/>
            <wp:docPr id="146448050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480504"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9420225" cy="5616575"/>
                    </a:xfrm>
                    <a:prstGeom prst="rect">
                      <a:avLst/>
                    </a:prstGeom>
                  </pic:spPr>
                </pic:pic>
              </a:graphicData>
            </a:graphic>
          </wp:inline>
        </w:drawing>
      </w:r>
    </w:p>
    <w:p w14:paraId="6618B355" w14:textId="77777777" w:rsidR="00B50660" w:rsidRDefault="00B50660">
      <w:pPr>
        <w:widowControl/>
        <w:autoSpaceDE/>
        <w:autoSpaceDN/>
        <w:spacing w:after="160" w:line="259" w:lineRule="auto"/>
      </w:pPr>
      <w:r>
        <w:br w:type="page"/>
      </w:r>
    </w:p>
    <w:p w14:paraId="26371E5B" w14:textId="77777777" w:rsidR="00B50660" w:rsidRDefault="00B50660">
      <w:pPr>
        <w:widowControl/>
        <w:autoSpaceDE/>
        <w:autoSpaceDN/>
        <w:spacing w:after="160" w:line="259" w:lineRule="auto"/>
        <w:sectPr w:rsidR="00B50660" w:rsidSect="006F5DC2">
          <w:headerReference w:type="default" r:id="rId15"/>
          <w:footerReference w:type="even" r:id="rId16"/>
          <w:footerReference w:type="default" r:id="rId17"/>
          <w:pgSz w:w="16840" w:h="11910" w:orient="landscape"/>
          <w:pgMar w:top="720" w:right="709" w:bottom="720" w:left="720" w:header="720" w:footer="1134" w:gutter="0"/>
          <w:pgNumType w:start="0"/>
          <w:cols w:space="720"/>
          <w:titlePg/>
          <w:docGrid w:linePitch="299"/>
        </w:sectPr>
      </w:pPr>
    </w:p>
    <w:p w14:paraId="1B78E4A0" w14:textId="77777777" w:rsidR="006F5DC2" w:rsidRDefault="006F5DC2" w:rsidP="006F5DC2">
      <w:r>
        <w:rPr>
          <w:noProof/>
        </w:rPr>
        <w:lastRenderedPageBreak/>
        <mc:AlternateContent>
          <mc:Choice Requires="wps">
            <w:drawing>
              <wp:anchor distT="0" distB="0" distL="114300" distR="114300" simplePos="0" relativeHeight="251660288" behindDoc="0" locked="0" layoutInCell="1" allowOverlap="1" wp14:anchorId="64B90FB7" wp14:editId="2A9CC336">
                <wp:simplePos x="0" y="0"/>
                <wp:positionH relativeFrom="column">
                  <wp:posOffset>-633095</wp:posOffset>
                </wp:positionH>
                <wp:positionV relativeFrom="paragraph">
                  <wp:posOffset>3747135</wp:posOffset>
                </wp:positionV>
                <wp:extent cx="7559040" cy="3050483"/>
                <wp:effectExtent l="0" t="0" r="0" b="0"/>
                <wp:wrapNone/>
                <wp:docPr id="3" name="Text Box 3"/>
                <wp:cNvGraphicFramePr/>
                <a:graphic xmlns:a="http://schemas.openxmlformats.org/drawingml/2006/main">
                  <a:graphicData uri="http://schemas.microsoft.com/office/word/2010/wordprocessingShape">
                    <wps:wsp>
                      <wps:cNvSpPr txBox="1"/>
                      <wps:spPr>
                        <a:xfrm>
                          <a:off x="0" y="0"/>
                          <a:ext cx="7559040" cy="3050483"/>
                        </a:xfrm>
                        <a:prstGeom prst="rect">
                          <a:avLst/>
                        </a:prstGeom>
                        <a:noFill/>
                        <a:ln w="6350">
                          <a:noFill/>
                        </a:ln>
                      </wps:spPr>
                      <wps:txbx>
                        <w:txbxContent>
                          <w:p w14:paraId="5581B165" w14:textId="77777777" w:rsidR="006F5DC2" w:rsidRDefault="006F5DC2" w:rsidP="006F5DC2">
                            <w:pPr>
                              <w:ind w:left="720"/>
                              <w:rPr>
                                <w:color w:val="FFFFFF" w:themeColor="background1"/>
                                <w:sz w:val="56"/>
                                <w:szCs w:val="56"/>
                              </w:rPr>
                            </w:pPr>
                            <w:r w:rsidRPr="001B02C6">
                              <w:rPr>
                                <w:color w:val="FFFFFF" w:themeColor="background1"/>
                                <w:sz w:val="56"/>
                                <w:szCs w:val="56"/>
                              </w:rPr>
                              <w:t>Health and Care Service Review Programme Board</w:t>
                            </w:r>
                          </w:p>
                          <w:p w14:paraId="6B7F5FB5" w14:textId="77777777" w:rsidR="006F5DC2" w:rsidRPr="009B2B37" w:rsidRDefault="006F5DC2" w:rsidP="006F5DC2">
                            <w:pPr>
                              <w:ind w:left="720"/>
                              <w:rPr>
                                <w:color w:val="FFFFFF" w:themeColor="background1"/>
                                <w:sz w:val="56"/>
                                <w:szCs w:val="56"/>
                              </w:rPr>
                            </w:pPr>
                            <w:r w:rsidRPr="009B2B37">
                              <w:rPr>
                                <w:color w:val="FFFFFF" w:themeColor="background1"/>
                                <w:sz w:val="56"/>
                                <w:szCs w:val="56"/>
                              </w:rPr>
                              <w:t xml:space="preserve">Highlight Report </w:t>
                            </w:r>
                          </w:p>
                          <w:p w14:paraId="108791CD" w14:textId="77777777" w:rsidR="006F5DC2" w:rsidRPr="00F76F00" w:rsidRDefault="006F5DC2" w:rsidP="006F5DC2">
                            <w:pPr>
                              <w:ind w:left="720"/>
                              <w:rPr>
                                <w:color w:val="FFFFFF" w:themeColor="background1"/>
                                <w:sz w:val="72"/>
                                <w:szCs w:val="72"/>
                              </w:rPr>
                            </w:pPr>
                            <w:r>
                              <w:rPr>
                                <w:color w:val="FFFFFF" w:themeColor="background1"/>
                                <w:sz w:val="72"/>
                                <w:szCs w:val="72"/>
                              </w:rPr>
                              <w:t>Dermatology</w:t>
                            </w:r>
                          </w:p>
                          <w:p w14:paraId="3BF12071" w14:textId="77777777" w:rsidR="006F5DC2" w:rsidRDefault="006F5DC2" w:rsidP="006F5DC2">
                            <w:pPr>
                              <w:ind w:left="720"/>
                              <w:rPr>
                                <w:color w:val="FFFFFF" w:themeColor="background1"/>
                                <w:sz w:val="40"/>
                                <w:szCs w:val="40"/>
                              </w:rPr>
                            </w:pPr>
                          </w:p>
                          <w:p w14:paraId="2C766705" w14:textId="77777777" w:rsidR="006F5DC2" w:rsidRPr="006054AA" w:rsidRDefault="006F5DC2" w:rsidP="006F5DC2">
                            <w:pPr>
                              <w:ind w:left="720"/>
                              <w:rPr>
                                <w:color w:val="FFFFFF" w:themeColor="background1"/>
                                <w:sz w:val="56"/>
                                <w:szCs w:val="56"/>
                              </w:rPr>
                            </w:pPr>
                            <w:r>
                              <w:rPr>
                                <w:color w:val="FFFFFF" w:themeColor="background1"/>
                                <w:sz w:val="56"/>
                                <w:szCs w:val="56"/>
                              </w:rPr>
                              <w:t>March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B90FB7" id="_x0000_t202" coordsize="21600,21600" o:spt="202" path="m,l,21600r21600,l21600,xe">
                <v:stroke joinstyle="miter"/>
                <v:path gradientshapeok="t" o:connecttype="rect"/>
              </v:shapetype>
              <v:shape id="Text Box 3" o:spid="_x0000_s1026" type="#_x0000_t202" style="position:absolute;margin-left:-49.85pt;margin-top:295.05pt;width:595.2pt;height:24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" filled="f" stroked="f" strokeweight=".5pt">
                <v:textbox>
                  <w:txbxContent>
                    <w:p w14:paraId="5581B165" w14:textId="77777777" w:rsidR="006F5DC2" w:rsidRDefault="006F5DC2" w:rsidP="006F5DC2">
                      <w:pPr>
                        <w:ind w:left="720"/>
                        <w:rPr>
                          <w:color w:val="FFFFFF" w:themeColor="background1"/>
                          <w:sz w:val="56"/>
                          <w:szCs w:val="56"/>
                        </w:rPr>
                      </w:pPr>
                      <w:r w:rsidRPr="001B02C6">
                        <w:rPr>
                          <w:color w:val="FFFFFF" w:themeColor="background1"/>
                          <w:sz w:val="56"/>
                          <w:szCs w:val="56"/>
                        </w:rPr>
                        <w:t>Health and Care Service Review Programme Board</w:t>
                      </w:r>
                    </w:p>
                    <w:p w14:paraId="6B7F5FB5" w14:textId="77777777" w:rsidR="006F5DC2" w:rsidRPr="009B2B37" w:rsidRDefault="006F5DC2" w:rsidP="006F5DC2">
                      <w:pPr>
                        <w:ind w:left="720"/>
                        <w:rPr>
                          <w:color w:val="FFFFFF" w:themeColor="background1"/>
                          <w:sz w:val="56"/>
                          <w:szCs w:val="56"/>
                        </w:rPr>
                      </w:pPr>
                      <w:r w:rsidRPr="009B2B37">
                        <w:rPr>
                          <w:color w:val="FFFFFF" w:themeColor="background1"/>
                          <w:sz w:val="56"/>
                          <w:szCs w:val="56"/>
                        </w:rPr>
                        <w:t xml:space="preserve">Highlight Report </w:t>
                      </w:r>
                    </w:p>
                    <w:p w14:paraId="108791CD" w14:textId="77777777" w:rsidR="006F5DC2" w:rsidRPr="00F76F00" w:rsidRDefault="006F5DC2" w:rsidP="006F5DC2">
                      <w:pPr>
                        <w:ind w:left="720"/>
                        <w:rPr>
                          <w:color w:val="FFFFFF" w:themeColor="background1"/>
                          <w:sz w:val="72"/>
                          <w:szCs w:val="72"/>
                        </w:rPr>
                      </w:pPr>
                      <w:r>
                        <w:rPr>
                          <w:color w:val="FFFFFF" w:themeColor="background1"/>
                          <w:sz w:val="72"/>
                          <w:szCs w:val="72"/>
                        </w:rPr>
                        <w:t>Dermatology</w:t>
                      </w:r>
                    </w:p>
                    <w:p w14:paraId="3BF12071" w14:textId="77777777" w:rsidR="006F5DC2" w:rsidRDefault="006F5DC2" w:rsidP="006F5DC2">
                      <w:pPr>
                        <w:ind w:left="720"/>
                        <w:rPr>
                          <w:color w:val="FFFFFF" w:themeColor="background1"/>
                          <w:sz w:val="40"/>
                          <w:szCs w:val="40"/>
                        </w:rPr>
                      </w:pPr>
                    </w:p>
                    <w:p w14:paraId="2C766705" w14:textId="77777777" w:rsidR="006F5DC2" w:rsidRPr="006054AA" w:rsidRDefault="006F5DC2" w:rsidP="006F5DC2">
                      <w:pPr>
                        <w:ind w:left="720"/>
                        <w:rPr>
                          <w:color w:val="FFFFFF" w:themeColor="background1"/>
                          <w:sz w:val="56"/>
                          <w:szCs w:val="56"/>
                        </w:rPr>
                      </w:pPr>
                      <w:r>
                        <w:rPr>
                          <w:color w:val="FFFFFF" w:themeColor="background1"/>
                          <w:sz w:val="56"/>
                          <w:szCs w:val="56"/>
                        </w:rPr>
                        <w:t>March 2025</w:t>
                      </w:r>
                    </w:p>
                  </w:txbxContent>
                </v:textbox>
              </v:shape>
            </w:pict>
          </mc:Fallback>
        </mc:AlternateContent>
      </w:r>
      <w:r>
        <w:rPr>
          <w:noProof/>
        </w:rPr>
        <w:drawing>
          <wp:anchor distT="0" distB="0" distL="0" distR="0" simplePos="0" relativeHeight="251659264" behindDoc="0" locked="1" layoutInCell="1" allowOverlap="1" wp14:anchorId="5AF9BF63" wp14:editId="05F7C01F">
            <wp:simplePos x="0" y="0"/>
            <wp:positionH relativeFrom="page">
              <wp:posOffset>-66675</wp:posOffset>
            </wp:positionH>
            <wp:positionV relativeFrom="page">
              <wp:posOffset>-48895</wp:posOffset>
            </wp:positionV>
            <wp:extent cx="7620000" cy="10770235"/>
            <wp:effectExtent l="0" t="0" r="0" b="0"/>
            <wp:wrapThrough wrapText="bothSides">
              <wp:wrapPolygon edited="0">
                <wp:start x="0" y="0"/>
                <wp:lineTo x="0" y="19179"/>
                <wp:lineTo x="5778" y="19561"/>
                <wp:lineTo x="2322" y="19905"/>
                <wp:lineTo x="1026" y="20058"/>
                <wp:lineTo x="1026" y="20784"/>
                <wp:lineTo x="14148" y="20822"/>
                <wp:lineTo x="18522" y="21548"/>
                <wp:lineTo x="21546" y="21548"/>
                <wp:lineTo x="2154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HS_GMIC_Cover Pag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20000" cy="10770235"/>
                    </a:xfrm>
                    <a:prstGeom prst="rect">
                      <a:avLst/>
                    </a:prstGeom>
                  </pic:spPr>
                </pic:pic>
              </a:graphicData>
            </a:graphic>
            <wp14:sizeRelH relativeFrom="margin">
              <wp14:pctWidth>0</wp14:pctWidth>
            </wp14:sizeRelH>
            <wp14:sizeRelV relativeFrom="margin">
              <wp14:pctHeight>0</wp14:pctHeight>
            </wp14:sizeRelV>
          </wp:anchor>
        </w:drawing>
      </w:r>
    </w:p>
    <w:sdt>
      <w:sdtPr>
        <w:id w:val="764120476"/>
        <w:docPartObj>
          <w:docPartGallery w:val="Cover Pages"/>
          <w:docPartUnique/>
        </w:docPartObj>
      </w:sdtPr>
      <w:sdtContent>
        <w:p w14:paraId="07E792FD" w14:textId="77777777" w:rsidR="006F5DC2" w:rsidRDefault="006F5DC2" w:rsidP="006F5DC2">
          <w:pPr>
            <w:rPr>
              <w:b/>
              <w:color w:val="0067A5"/>
              <w:sz w:val="32"/>
              <w:szCs w:val="32"/>
            </w:rPr>
          </w:pPr>
        </w:p>
        <w:tbl>
          <w:tblPr>
            <w:tblStyle w:val="TableGrid"/>
            <w:tblW w:w="10910" w:type="dxa"/>
            <w:tblInd w:w="-147" w:type="dxa"/>
            <w:tblLook w:val="04A0" w:firstRow="1" w:lastRow="0" w:firstColumn="1" w:lastColumn="0" w:noHBand="0" w:noVBand="1"/>
          </w:tblPr>
          <w:tblGrid>
            <w:gridCol w:w="4678"/>
            <w:gridCol w:w="1134"/>
            <w:gridCol w:w="1122"/>
            <w:gridCol w:w="3976"/>
          </w:tblGrid>
          <w:tr w:rsidR="006F5DC2" w:rsidRPr="00292B5A" w14:paraId="228BF41F" w14:textId="77777777" w:rsidTr="00703840">
            <w:trPr>
              <w:trHeight w:val="284"/>
            </w:trPr>
            <w:tc>
              <w:tcPr>
                <w:tcW w:w="5812" w:type="dxa"/>
                <w:gridSpan w:val="2"/>
                <w:shd w:val="clear" w:color="auto" w:fill="3E5F73"/>
              </w:tcPr>
              <w:p w14:paraId="6209C2A6" w14:textId="77777777" w:rsidR="006F5DC2" w:rsidRPr="00720568" w:rsidRDefault="006F5DC2" w:rsidP="00703840">
                <w:pPr>
                  <w:rPr>
                    <w:b/>
                    <w:bCs/>
                    <w:color w:val="FFFFFF" w:themeColor="background1"/>
                  </w:rPr>
                </w:pPr>
                <w:r w:rsidRPr="00720568">
                  <w:rPr>
                    <w:b/>
                    <w:bCs/>
                    <w:color w:val="FFFFFF" w:themeColor="background1"/>
                  </w:rPr>
                  <w:t>Objectives Phase 3</w:t>
                </w:r>
              </w:p>
            </w:tc>
            <w:tc>
              <w:tcPr>
                <w:tcW w:w="1122" w:type="dxa"/>
                <w:shd w:val="clear" w:color="auto" w:fill="3E5F73"/>
              </w:tcPr>
              <w:p w14:paraId="2B7D4108" w14:textId="77777777" w:rsidR="006F5DC2" w:rsidRPr="00292B5A" w:rsidRDefault="006F5DC2" w:rsidP="00703840">
                <w:pPr>
                  <w:rPr>
                    <w:b/>
                    <w:bCs/>
                    <w:color w:val="FFFFFF" w:themeColor="background1"/>
                  </w:rPr>
                </w:pPr>
                <w:r w:rsidRPr="00292B5A">
                  <w:rPr>
                    <w:b/>
                    <w:bCs/>
                    <w:color w:val="FFFFFF" w:themeColor="background1"/>
                  </w:rPr>
                  <w:t xml:space="preserve">RAG Rating </w:t>
                </w:r>
              </w:p>
            </w:tc>
            <w:tc>
              <w:tcPr>
                <w:tcW w:w="3976" w:type="dxa"/>
                <w:shd w:val="clear" w:color="auto" w:fill="3E5F73"/>
              </w:tcPr>
              <w:p w14:paraId="7F34AADE" w14:textId="77777777" w:rsidR="006F5DC2" w:rsidRPr="00292B5A" w:rsidRDefault="006F5DC2" w:rsidP="00703840">
                <w:pPr>
                  <w:rPr>
                    <w:b/>
                    <w:bCs/>
                    <w:color w:val="FFFFFF" w:themeColor="background1"/>
                  </w:rPr>
                </w:pPr>
                <w:r w:rsidRPr="00292B5A">
                  <w:rPr>
                    <w:b/>
                    <w:bCs/>
                    <w:color w:val="FFFFFF" w:themeColor="background1"/>
                  </w:rPr>
                  <w:t xml:space="preserve">Justification for RAG Status </w:t>
                </w:r>
              </w:p>
            </w:tc>
          </w:tr>
          <w:tr w:rsidR="006F5DC2" w:rsidRPr="00292B5A" w14:paraId="1DD1A513" w14:textId="77777777" w:rsidTr="00703840">
            <w:trPr>
              <w:trHeight w:val="841"/>
            </w:trPr>
            <w:tc>
              <w:tcPr>
                <w:tcW w:w="5812" w:type="dxa"/>
                <w:gridSpan w:val="2"/>
                <w:shd w:val="clear" w:color="auto" w:fill="auto"/>
              </w:tcPr>
              <w:p w14:paraId="6E210B45" w14:textId="77777777" w:rsidR="006F5DC2" w:rsidRPr="00720568" w:rsidRDefault="006F5DC2" w:rsidP="00703840">
                <w:pPr>
                  <w:numPr>
                    <w:ilvl w:val="0"/>
                    <w:numId w:val="5"/>
                  </w:numPr>
                  <w:autoSpaceDE/>
                  <w:autoSpaceDN/>
                </w:pPr>
                <w:r w:rsidRPr="00720568">
                  <w:t>Support delivery of transformational change in GM derm with focus on reducing demand, reducing unwarranted clinical variation, improving experience of all.</w:t>
                </w:r>
              </w:p>
              <w:p w14:paraId="04BA573F" w14:textId="77777777" w:rsidR="006F5DC2" w:rsidRDefault="006F5DC2" w:rsidP="00703840">
                <w:pPr>
                  <w:numPr>
                    <w:ilvl w:val="0"/>
                    <w:numId w:val="5"/>
                  </w:numPr>
                  <w:autoSpaceDE/>
                  <w:autoSpaceDN/>
                </w:pPr>
                <w:r w:rsidRPr="00720568">
                  <w:t>Implement a new Model of Care (MoC).</w:t>
                </w:r>
              </w:p>
              <w:p w14:paraId="7BB1C50E" w14:textId="77777777" w:rsidR="006F5DC2" w:rsidRDefault="006F5DC2" w:rsidP="00703840">
                <w:pPr>
                  <w:numPr>
                    <w:ilvl w:val="1"/>
                    <w:numId w:val="5"/>
                  </w:numPr>
                  <w:autoSpaceDE/>
                  <w:autoSpaceDN/>
                </w:pPr>
                <w:r>
                  <w:t xml:space="preserve">Procure and implement Single Point of Access (SPoA) </w:t>
                </w:r>
                <w:proofErr w:type="gramStart"/>
                <w:r>
                  <w:t>software;</w:t>
                </w:r>
                <w:proofErr w:type="gramEnd"/>
              </w:p>
              <w:p w14:paraId="6DE19AA0" w14:textId="77777777" w:rsidR="006F5DC2" w:rsidRPr="001E1B55" w:rsidRDefault="006F5DC2" w:rsidP="00703840">
                <w:pPr>
                  <w:numPr>
                    <w:ilvl w:val="1"/>
                    <w:numId w:val="5"/>
                  </w:numPr>
                  <w:autoSpaceDE/>
                  <w:autoSpaceDN/>
                </w:pPr>
                <w:r>
                  <w:t>Test the new MoC through the mobilis</w:t>
                </w:r>
                <w:r w:rsidRPr="001E1B55">
                  <w:t>ation of additionally funded community activity in 2024-25; and</w:t>
                </w:r>
              </w:p>
              <w:p w14:paraId="02F5E5BD" w14:textId="77777777" w:rsidR="006F5DC2" w:rsidRPr="00720568" w:rsidRDefault="006F5DC2" w:rsidP="00703840">
                <w:pPr>
                  <w:numPr>
                    <w:ilvl w:val="1"/>
                    <w:numId w:val="5"/>
                  </w:numPr>
                  <w:autoSpaceDE/>
                  <w:autoSpaceDN/>
                </w:pPr>
                <w:r>
                  <w:t>Procure and implement new Community Dermatology Services for 2025-26 and beyond.</w:t>
                </w:r>
              </w:p>
              <w:p w14:paraId="2E7B2FA5" w14:textId="77777777" w:rsidR="006F5DC2" w:rsidRPr="00720568" w:rsidRDefault="006F5DC2" w:rsidP="00703840">
                <w:pPr>
                  <w:numPr>
                    <w:ilvl w:val="0"/>
                    <w:numId w:val="5"/>
                  </w:numPr>
                  <w:autoSpaceDE/>
                  <w:autoSpaceDN/>
                </w:pPr>
                <w:r w:rsidRPr="00720568">
                  <w:t>Outline future GM service/provider model.</w:t>
                </w:r>
              </w:p>
              <w:p w14:paraId="46DF9852" w14:textId="77777777" w:rsidR="006F5DC2" w:rsidRPr="00720568" w:rsidRDefault="006F5DC2" w:rsidP="00703840"/>
            </w:tc>
            <w:tc>
              <w:tcPr>
                <w:tcW w:w="1122" w:type="dxa"/>
                <w:shd w:val="clear" w:color="auto" w:fill="FFC000"/>
              </w:tcPr>
              <w:p w14:paraId="0AE3684B" w14:textId="77777777" w:rsidR="006F5DC2" w:rsidRPr="00292B5A" w:rsidRDefault="006F5DC2" w:rsidP="00703840"/>
              <w:p w14:paraId="5124CB4E" w14:textId="77777777" w:rsidR="006F5DC2" w:rsidRPr="00292B5A" w:rsidRDefault="006F5DC2" w:rsidP="00703840"/>
              <w:p w14:paraId="0B9842CF" w14:textId="77777777" w:rsidR="006F5DC2" w:rsidRPr="00292B5A" w:rsidRDefault="006F5DC2" w:rsidP="00703840"/>
            </w:tc>
            <w:tc>
              <w:tcPr>
                <w:tcW w:w="3976" w:type="dxa"/>
              </w:tcPr>
              <w:p w14:paraId="6B47C003" w14:textId="77777777" w:rsidR="006F5DC2" w:rsidRDefault="006F5DC2" w:rsidP="00703840">
                <w:pPr>
                  <w:numPr>
                    <w:ilvl w:val="0"/>
                    <w:numId w:val="6"/>
                  </w:numPr>
                  <w:autoSpaceDE/>
                  <w:autoSpaceDN/>
                </w:pPr>
                <w:r>
                  <w:t>Full SPoA implementation is likely to extend into Quarter 1 of 2025-26.</w:t>
                </w:r>
              </w:p>
              <w:p w14:paraId="3A9E1180" w14:textId="77777777" w:rsidR="006F5DC2" w:rsidRDefault="006F5DC2" w:rsidP="00703840">
                <w:pPr>
                  <w:numPr>
                    <w:ilvl w:val="0"/>
                    <w:numId w:val="6"/>
                  </w:numPr>
                  <w:autoSpaceDE/>
                  <w:autoSpaceDN/>
                </w:pPr>
                <w:r>
                  <w:t xml:space="preserve">Ability to test the new community model due to limited provider capacity </w:t>
                </w:r>
              </w:p>
              <w:p w14:paraId="5D12303E" w14:textId="77777777" w:rsidR="006F5DC2" w:rsidRPr="00292B5A" w:rsidRDefault="006F5DC2" w:rsidP="00703840">
                <w:pPr>
                  <w:numPr>
                    <w:ilvl w:val="0"/>
                    <w:numId w:val="6"/>
                  </w:numPr>
                  <w:autoSpaceDE/>
                  <w:autoSpaceDN/>
                </w:pPr>
                <w:r>
                  <w:t>Intended Community Dermatology Service commencement date has been revised to 8</w:t>
                </w:r>
                <w:r w:rsidRPr="00722789">
                  <w:rPr>
                    <w:vertAlign w:val="superscript"/>
                  </w:rPr>
                  <w:t>th</w:t>
                </w:r>
                <w:r>
                  <w:t xml:space="preserve"> August 2025.</w:t>
                </w:r>
              </w:p>
            </w:tc>
          </w:tr>
          <w:tr w:rsidR="006F5DC2" w:rsidRPr="00292B5A" w14:paraId="2B4EA6A3" w14:textId="77777777" w:rsidTr="00703840">
            <w:trPr>
              <w:trHeight w:val="268"/>
            </w:trPr>
            <w:tc>
              <w:tcPr>
                <w:tcW w:w="5812" w:type="dxa"/>
                <w:gridSpan w:val="2"/>
                <w:shd w:val="clear" w:color="auto" w:fill="3E5F73"/>
              </w:tcPr>
              <w:p w14:paraId="0EB6889F" w14:textId="77777777" w:rsidR="006F5DC2" w:rsidRPr="00720568" w:rsidRDefault="006F5DC2" w:rsidP="00703840">
                <w:pPr>
                  <w:rPr>
                    <w:b/>
                    <w:bCs/>
                    <w:color w:val="FFFFFF" w:themeColor="background1"/>
                  </w:rPr>
                </w:pPr>
                <w:r w:rsidRPr="00720568">
                  <w:rPr>
                    <w:b/>
                    <w:bCs/>
                    <w:color w:val="FFFFFF" w:themeColor="background1"/>
                  </w:rPr>
                  <w:t xml:space="preserve">Dashboard snapshot  </w:t>
                </w:r>
              </w:p>
            </w:tc>
            <w:tc>
              <w:tcPr>
                <w:tcW w:w="5098" w:type="dxa"/>
                <w:gridSpan w:val="2"/>
                <w:shd w:val="clear" w:color="auto" w:fill="3E5F73"/>
              </w:tcPr>
              <w:p w14:paraId="0BA3F084" w14:textId="77777777" w:rsidR="006F5DC2" w:rsidRPr="00720568" w:rsidRDefault="006F5DC2" w:rsidP="00703840">
                <w:pPr>
                  <w:rPr>
                    <w:b/>
                    <w:bCs/>
                    <w:color w:val="FFFFFF" w:themeColor="background1"/>
                  </w:rPr>
                </w:pPr>
                <w:r w:rsidRPr="00720568">
                  <w:rPr>
                    <w:b/>
                    <w:bCs/>
                    <w:color w:val="FFFFFF" w:themeColor="background1"/>
                  </w:rPr>
                  <w:t>Comments</w:t>
                </w:r>
              </w:p>
            </w:tc>
          </w:tr>
          <w:tr w:rsidR="006F5DC2" w:rsidRPr="00292B5A" w14:paraId="0730DB5F" w14:textId="77777777" w:rsidTr="00703840">
            <w:trPr>
              <w:trHeight w:val="3245"/>
            </w:trPr>
            <w:tc>
              <w:tcPr>
                <w:tcW w:w="4678" w:type="dxa"/>
              </w:tcPr>
              <w:p w14:paraId="035B74EA" w14:textId="77777777" w:rsidR="006F5DC2" w:rsidRPr="00720568" w:rsidRDefault="006F5DC2" w:rsidP="00703840"/>
              <w:p w14:paraId="66A0E33D" w14:textId="77777777" w:rsidR="006F5DC2" w:rsidRPr="00720568" w:rsidRDefault="006F5DC2" w:rsidP="00703840">
                <w:pPr>
                  <w:jc w:val="center"/>
                </w:pPr>
                <w:r w:rsidRPr="004C5FD9">
                  <w:rPr>
                    <w:noProof/>
                  </w:rPr>
                  <w:drawing>
                    <wp:inline distT="0" distB="0" distL="0" distR="0" wp14:anchorId="65F444F7" wp14:editId="6706A559">
                      <wp:extent cx="2553056" cy="2076740"/>
                      <wp:effectExtent l="19050" t="19050" r="19050" b="19050"/>
                      <wp:docPr id="100126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6933" name=""/>
                              <pic:cNvPicPr/>
                            </pic:nvPicPr>
                            <pic:blipFill>
                              <a:blip r:embed="rId19"/>
                              <a:stretch>
                                <a:fillRect/>
                              </a:stretch>
                            </pic:blipFill>
                            <pic:spPr>
                              <a:xfrm>
                                <a:off x="0" y="0"/>
                                <a:ext cx="2553056" cy="2076740"/>
                              </a:xfrm>
                              <a:prstGeom prst="rect">
                                <a:avLst/>
                              </a:prstGeom>
                              <a:ln>
                                <a:solidFill>
                                  <a:schemeClr val="bg1">
                                    <a:lumMod val="50000"/>
                                  </a:schemeClr>
                                </a:solidFill>
                              </a:ln>
                            </pic:spPr>
                          </pic:pic>
                        </a:graphicData>
                      </a:graphic>
                    </wp:inline>
                  </w:drawing>
                </w:r>
              </w:p>
              <w:p w14:paraId="453A77C6" w14:textId="77777777" w:rsidR="006F5DC2" w:rsidRPr="00720568" w:rsidRDefault="006F5DC2" w:rsidP="00703840"/>
            </w:tc>
            <w:tc>
              <w:tcPr>
                <w:tcW w:w="6232" w:type="dxa"/>
                <w:gridSpan w:val="3"/>
              </w:tcPr>
              <w:p w14:paraId="6F11ADE2" w14:textId="77777777" w:rsidR="006F5DC2" w:rsidRPr="0067698F" w:rsidRDefault="006F5DC2" w:rsidP="00703840">
                <w:r w:rsidRPr="0067698F">
                  <w:rPr>
                    <w:u w:val="single"/>
                  </w:rPr>
                  <w:t>Governance</w:t>
                </w:r>
                <w:r w:rsidRPr="0067698F">
                  <w:t xml:space="preserve">: </w:t>
                </w:r>
                <w:r>
                  <w:t>Relevant delivery groups and sub-groups are established.</w:t>
                </w:r>
              </w:p>
              <w:p w14:paraId="1448B7D5" w14:textId="77777777" w:rsidR="006F5DC2" w:rsidRPr="0067698F" w:rsidRDefault="006F5DC2" w:rsidP="00703840">
                <w:r w:rsidRPr="0067698F">
                  <w:rPr>
                    <w:u w:val="single"/>
                  </w:rPr>
                  <w:t>Activity &amp; Finance</w:t>
                </w:r>
                <w:r w:rsidRPr="0067698F">
                  <w:t>: W</w:t>
                </w:r>
                <w:r w:rsidRPr="0067698F">
                  <w:rPr>
                    <w:rStyle w:val="normaltextrun"/>
                    <w:color w:val="000000"/>
                    <w:shd w:val="clear" w:color="auto" w:fill="FFFFFF"/>
                  </w:rPr>
                  <w:t>ork continues with NHS Provider Trusts to understand current and future model of care costs</w:t>
                </w:r>
                <w:r>
                  <w:rPr>
                    <w:rStyle w:val="normaltextrun"/>
                    <w:color w:val="000000"/>
                    <w:shd w:val="clear" w:color="auto" w:fill="FFFFFF"/>
                  </w:rPr>
                  <w:t>, including workforce model.</w:t>
                </w:r>
              </w:p>
              <w:p w14:paraId="44C11C41" w14:textId="77777777" w:rsidR="006F5DC2" w:rsidRPr="003100B3" w:rsidRDefault="006F5DC2" w:rsidP="00703840">
                <w:r w:rsidRPr="003100B3">
                  <w:rPr>
                    <w:u w:val="single"/>
                  </w:rPr>
                  <w:t>MoC Implementation</w:t>
                </w:r>
                <w:r w:rsidRPr="003100B3">
                  <w:t xml:space="preserve">: </w:t>
                </w:r>
                <w:r>
                  <w:t>Group continues to meet weekly to oversee the three key main aims of implementing additional capacity in 2024-25, implementation of the SPoA and procurement of community dermatology services.</w:t>
                </w:r>
              </w:p>
              <w:p w14:paraId="3F65B418" w14:textId="77777777" w:rsidR="006F5DC2" w:rsidRPr="0067698F" w:rsidRDefault="006F5DC2" w:rsidP="00703840">
                <w:r w:rsidRPr="003100B3">
                  <w:rPr>
                    <w:u w:val="single"/>
                  </w:rPr>
                  <w:t>Education</w:t>
                </w:r>
                <w:r w:rsidRPr="003100B3">
                  <w:t xml:space="preserve">: </w:t>
                </w:r>
                <w:r>
                  <w:t>Three primary care education sessions planned in 2024-25 with final one due 01/03/2025.</w:t>
                </w:r>
              </w:p>
              <w:p w14:paraId="3BBAC553" w14:textId="77777777" w:rsidR="006F5DC2" w:rsidRPr="00720568" w:rsidRDefault="006F5DC2" w:rsidP="00703840">
                <w:r w:rsidRPr="0067698F">
                  <w:rPr>
                    <w:u w:val="single"/>
                  </w:rPr>
                  <w:t>High-Cost Drugs</w:t>
                </w:r>
                <w:r w:rsidRPr="0067698F">
                  <w:t xml:space="preserve">: </w:t>
                </w:r>
                <w:r w:rsidRPr="0067698F">
                  <w:rPr>
                    <w:rStyle w:val="normaltextrun"/>
                    <w:color w:val="000000"/>
                    <w:shd w:val="clear" w:color="auto" w:fill="FFFFFF"/>
                  </w:rPr>
                  <w:t xml:space="preserve">NHS Provider Trusts </w:t>
                </w:r>
                <w:r>
                  <w:rPr>
                    <w:rStyle w:val="normaltextrun"/>
                    <w:color w:val="000000"/>
                    <w:shd w:val="clear" w:color="auto" w:fill="FFFFFF"/>
                  </w:rPr>
                  <w:t xml:space="preserve">have </w:t>
                </w:r>
                <w:r w:rsidRPr="0067698F">
                  <w:rPr>
                    <w:rStyle w:val="normaltextrun"/>
                    <w:color w:val="000000"/>
                    <w:shd w:val="clear" w:color="auto" w:fill="FFFFFF"/>
                  </w:rPr>
                  <w:t>develo</w:t>
                </w:r>
                <w:r>
                  <w:rPr>
                    <w:rStyle w:val="normaltextrun"/>
                    <w:color w:val="000000"/>
                    <w:shd w:val="clear" w:color="auto" w:fill="FFFFFF"/>
                  </w:rPr>
                  <w:t>ped</w:t>
                </w:r>
                <w:r w:rsidRPr="0067698F">
                  <w:rPr>
                    <w:rStyle w:val="normaltextrun"/>
                    <w:color w:val="000000"/>
                    <w:shd w:val="clear" w:color="auto" w:fill="FFFFFF"/>
                  </w:rPr>
                  <w:t xml:space="preserve"> business cases to identify and embed the required resources to allow implementation of the proposal.</w:t>
                </w:r>
                <w:r>
                  <w:rPr>
                    <w:rStyle w:val="normaltextrun"/>
                    <w:color w:val="000000"/>
                    <w:shd w:val="clear" w:color="auto" w:fill="FFFFFF"/>
                  </w:rPr>
                  <w:t xml:space="preserve"> </w:t>
                </w:r>
              </w:p>
            </w:tc>
          </w:tr>
          <w:tr w:rsidR="006F5DC2" w:rsidRPr="00292B5A" w14:paraId="0DC015C3" w14:textId="77777777" w:rsidTr="00703840">
            <w:trPr>
              <w:trHeight w:val="280"/>
            </w:trPr>
            <w:tc>
              <w:tcPr>
                <w:tcW w:w="10910" w:type="dxa"/>
                <w:gridSpan w:val="4"/>
                <w:shd w:val="clear" w:color="auto" w:fill="3E5F73"/>
              </w:tcPr>
              <w:p w14:paraId="785C734C" w14:textId="77777777" w:rsidR="006F5DC2" w:rsidRPr="00720568" w:rsidRDefault="006F5DC2" w:rsidP="00703840">
                <w:pPr>
                  <w:rPr>
                    <w:b/>
                    <w:bCs/>
                  </w:rPr>
                </w:pPr>
                <w:r w:rsidRPr="00720568">
                  <w:rPr>
                    <w:b/>
                    <w:bCs/>
                    <w:color w:val="FFFFFF" w:themeColor="background1"/>
                  </w:rPr>
                  <w:t xml:space="preserve">Recent progress made </w:t>
                </w:r>
              </w:p>
            </w:tc>
          </w:tr>
        </w:tbl>
        <w:p w14:paraId="1D0F83BA" w14:textId="77777777" w:rsidR="006F5DC2" w:rsidRDefault="006F5DC2" w:rsidP="006F5DC2">
          <w:pPr>
            <w:jc w:val="both"/>
            <w:rPr>
              <w:b/>
              <w:bCs/>
              <w:u w:val="single"/>
            </w:rPr>
            <w:sectPr w:rsidR="006F5DC2" w:rsidSect="00B50660">
              <w:pgSz w:w="11910" w:h="16840"/>
              <w:pgMar w:top="709" w:right="720" w:bottom="720" w:left="720" w:header="720" w:footer="1134" w:gutter="0"/>
              <w:pgNumType w:start="0"/>
              <w:cols w:space="720"/>
              <w:titlePg/>
              <w:docGrid w:linePitch="299"/>
            </w:sectPr>
          </w:pPr>
        </w:p>
        <w:tbl>
          <w:tblPr>
            <w:tblStyle w:val="TableGrid"/>
            <w:tblW w:w="10910" w:type="dxa"/>
            <w:tblInd w:w="-147" w:type="dxa"/>
            <w:tblLook w:val="04A0" w:firstRow="1" w:lastRow="0" w:firstColumn="1" w:lastColumn="0" w:noHBand="0" w:noVBand="1"/>
          </w:tblPr>
          <w:tblGrid>
            <w:gridCol w:w="10910"/>
          </w:tblGrid>
          <w:tr w:rsidR="006F5DC2" w:rsidRPr="00292B5A" w14:paraId="7FA1EA0D" w14:textId="77777777" w:rsidTr="00703840">
            <w:trPr>
              <w:trHeight w:val="410"/>
            </w:trPr>
            <w:tc>
              <w:tcPr>
                <w:tcW w:w="10910" w:type="dxa"/>
              </w:tcPr>
              <w:p w14:paraId="773D3EA6" w14:textId="77777777" w:rsidR="006F5DC2" w:rsidRPr="00BE3BF0" w:rsidRDefault="006F5DC2" w:rsidP="00703840">
                <w:pPr>
                  <w:jc w:val="both"/>
                  <w:rPr>
                    <w:u w:val="single"/>
                  </w:rPr>
                </w:pPr>
                <w:r w:rsidRPr="00BE3BF0">
                  <w:rPr>
                    <w:u w:val="single"/>
                  </w:rPr>
                  <w:lastRenderedPageBreak/>
                  <w:t>MoC Implementation</w:t>
                </w:r>
                <w:r w:rsidRPr="00BE3BF0">
                  <w:t>:</w:t>
                </w:r>
              </w:p>
              <w:p w14:paraId="03995C78" w14:textId="77777777" w:rsidR="006F5DC2" w:rsidRDefault="006F5DC2" w:rsidP="00703840">
                <w:pPr>
                  <w:pStyle w:val="paragraph"/>
                  <w:numPr>
                    <w:ilvl w:val="0"/>
                    <w:numId w:val="10"/>
                  </w:numPr>
                  <w:spacing w:before="0" w:beforeAutospacing="0" w:after="0" w:afterAutospacing="0"/>
                  <w:ind w:left="314" w:hanging="284"/>
                  <w:jc w:val="both"/>
                  <w:textAlignment w:val="baseline"/>
                  <w:rPr>
                    <w:rFonts w:ascii="Arial" w:hAnsi="Arial" w:cs="Arial"/>
                    <w:sz w:val="22"/>
                    <w:szCs w:val="22"/>
                  </w:rPr>
                </w:pPr>
                <w:r w:rsidRPr="004A4259">
                  <w:rPr>
                    <w:rFonts w:ascii="Arial" w:hAnsi="Arial" w:cs="Arial"/>
                    <w:sz w:val="22"/>
                    <w:szCs w:val="22"/>
                  </w:rPr>
                  <w:t>SPOA</w:t>
                </w:r>
                <w:r>
                  <w:rPr>
                    <w:rFonts w:ascii="Arial" w:hAnsi="Arial" w:cs="Arial"/>
                    <w:sz w:val="22"/>
                    <w:szCs w:val="22"/>
                  </w:rPr>
                  <w:t>:</w:t>
                </w:r>
              </w:p>
              <w:p w14:paraId="2D7D2C4E" w14:textId="77777777" w:rsidR="006F5DC2" w:rsidRDefault="006F5DC2" w:rsidP="00703840">
                <w:pPr>
                  <w:pStyle w:val="paragraph"/>
                  <w:numPr>
                    <w:ilvl w:val="0"/>
                    <w:numId w:val="1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First locality (Bury) went live 04/02/2025.  Approximately 60 Bury users have registered user accounts to date.  Small number of referrals raised so far though all raised have been completed by GPs.  In the absence of being able to mandate usage of the SPoA, currently looking at other ways to encourage and increase usage.  </w:t>
                </w:r>
              </w:p>
              <w:p w14:paraId="36197578" w14:textId="77777777" w:rsidR="006F5DC2" w:rsidRDefault="006F5DC2" w:rsidP="00703840">
                <w:pPr>
                  <w:pStyle w:val="paragraph"/>
                  <w:numPr>
                    <w:ilvl w:val="0"/>
                    <w:numId w:val="11"/>
                  </w:numPr>
                  <w:spacing w:before="0" w:beforeAutospacing="0" w:after="0" w:afterAutospacing="0"/>
                  <w:jc w:val="both"/>
                  <w:textAlignment w:val="baseline"/>
                  <w:rPr>
                    <w:rFonts w:ascii="Arial" w:hAnsi="Arial" w:cs="Arial"/>
                    <w:sz w:val="22"/>
                    <w:szCs w:val="22"/>
                  </w:rPr>
                </w:pPr>
                <w:r>
                  <w:rPr>
                    <w:rFonts w:ascii="Arial" w:hAnsi="Arial" w:cs="Arial"/>
                    <w:sz w:val="22"/>
                    <w:szCs w:val="22"/>
                  </w:rPr>
                  <w:t>Had split other localities across two additional phases with Phase 2 aimed at going live in Feb 2025 and Phase 3 in March 2025.  Progress addressing some issues means some slippage in the timescale though aiming to have all localities live by the end of April 2025.  Current draft timeline shows seven localities live by 31</w:t>
                </w:r>
                <w:r w:rsidRPr="00B05E48">
                  <w:rPr>
                    <w:rFonts w:ascii="Arial" w:hAnsi="Arial" w:cs="Arial"/>
                    <w:sz w:val="22"/>
                    <w:szCs w:val="22"/>
                    <w:vertAlign w:val="superscript"/>
                  </w:rPr>
                  <w:t>st</w:t>
                </w:r>
                <w:r>
                  <w:rPr>
                    <w:rFonts w:ascii="Arial" w:hAnsi="Arial" w:cs="Arial"/>
                    <w:sz w:val="22"/>
                    <w:szCs w:val="22"/>
                  </w:rPr>
                  <w:t xml:space="preserve"> March 2025.</w:t>
                </w:r>
              </w:p>
              <w:p w14:paraId="09BC3ADD" w14:textId="77777777" w:rsidR="006F5DC2" w:rsidRDefault="006F5DC2" w:rsidP="00703840">
                <w:pPr>
                  <w:pStyle w:val="paragraph"/>
                  <w:numPr>
                    <w:ilvl w:val="0"/>
                    <w:numId w:val="11"/>
                  </w:numPr>
                  <w:spacing w:before="0" w:beforeAutospacing="0" w:after="0" w:afterAutospacing="0"/>
                  <w:jc w:val="both"/>
                  <w:textAlignment w:val="baseline"/>
                  <w:rPr>
                    <w:rFonts w:ascii="Arial" w:hAnsi="Arial" w:cs="Arial"/>
                    <w:sz w:val="22"/>
                    <w:szCs w:val="22"/>
                  </w:rPr>
                </w:pPr>
                <w:r>
                  <w:rPr>
                    <w:rFonts w:ascii="Arial" w:hAnsi="Arial" w:cs="Arial"/>
                    <w:sz w:val="22"/>
                    <w:szCs w:val="22"/>
                  </w:rPr>
                  <w:t>Generic and suspected cancer pathway questions have been included in the initial go-live and condition specific pathway questions are in development (starting with Acne, Psoriasis, Eczema and Actinic Keratosis).</w:t>
                </w:r>
              </w:p>
              <w:p w14:paraId="152AE197" w14:textId="77777777" w:rsidR="006F5DC2" w:rsidRDefault="006F5DC2" w:rsidP="00703840">
                <w:pPr>
                  <w:pStyle w:val="paragraph"/>
                  <w:numPr>
                    <w:ilvl w:val="0"/>
                    <w:numId w:val="11"/>
                  </w:numPr>
                  <w:spacing w:before="0" w:beforeAutospacing="0" w:after="0" w:afterAutospacing="0"/>
                  <w:jc w:val="both"/>
                  <w:textAlignment w:val="baseline"/>
                  <w:rPr>
                    <w:rFonts w:ascii="Arial" w:hAnsi="Arial" w:cs="Arial"/>
                    <w:sz w:val="22"/>
                    <w:szCs w:val="22"/>
                  </w:rPr>
                </w:pPr>
                <w:r>
                  <w:rPr>
                    <w:rFonts w:ascii="Arial" w:hAnsi="Arial" w:cs="Arial"/>
                    <w:sz w:val="22"/>
                    <w:szCs w:val="22"/>
                  </w:rPr>
                  <w:t>Work has commenced to look at reporting of Key Performance Indicator (KPI) data.</w:t>
                </w:r>
              </w:p>
              <w:p w14:paraId="291D2544" w14:textId="77777777" w:rsidR="006F5DC2" w:rsidRDefault="006F5DC2" w:rsidP="00703840">
                <w:pPr>
                  <w:pStyle w:val="paragraph"/>
                  <w:numPr>
                    <w:ilvl w:val="0"/>
                    <w:numId w:val="10"/>
                  </w:numPr>
                  <w:spacing w:before="0" w:beforeAutospacing="0" w:after="0" w:afterAutospacing="0"/>
                  <w:ind w:left="314" w:hanging="284"/>
                  <w:jc w:val="both"/>
                  <w:textAlignment w:val="baseline"/>
                  <w:rPr>
                    <w:rFonts w:ascii="Arial" w:hAnsi="Arial" w:cs="Arial"/>
                    <w:sz w:val="22"/>
                    <w:szCs w:val="22"/>
                  </w:rPr>
                </w:pPr>
                <w:r>
                  <w:rPr>
                    <w:rFonts w:ascii="Arial" w:hAnsi="Arial" w:cs="Arial"/>
                    <w:sz w:val="22"/>
                    <w:szCs w:val="22"/>
                  </w:rPr>
                  <w:t>Additional Community Activity:</w:t>
                </w:r>
              </w:p>
              <w:p w14:paraId="5E2B5926" w14:textId="77777777" w:rsidR="006F5DC2" w:rsidRDefault="006F5DC2" w:rsidP="00703840">
                <w:pPr>
                  <w:pStyle w:val="paragraph"/>
                  <w:numPr>
                    <w:ilvl w:val="0"/>
                    <w:numId w:val="12"/>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Interim ICB governance completed to enable referrals to transfer between </w:t>
                </w:r>
                <w:proofErr w:type="spellStart"/>
                <w:r>
                  <w:rPr>
                    <w:rFonts w:ascii="Arial" w:hAnsi="Arial" w:cs="Arial"/>
                    <w:sz w:val="22"/>
                    <w:szCs w:val="22"/>
                  </w:rPr>
                  <w:t>Wrightington</w:t>
                </w:r>
                <w:proofErr w:type="spellEnd"/>
                <w:r>
                  <w:rPr>
                    <w:rFonts w:ascii="Arial" w:hAnsi="Arial" w:cs="Arial"/>
                    <w:sz w:val="22"/>
                    <w:szCs w:val="22"/>
                  </w:rPr>
                  <w:t xml:space="preserve">, Wigan and Leigh NHS FT (WWL) and About Health.  About Health had capacity from around mid-February 2025 to support the WWL cohort and WWL is </w:t>
                </w:r>
                <w:proofErr w:type="spellStart"/>
                <w:r>
                  <w:rPr>
                    <w:rFonts w:ascii="Arial" w:hAnsi="Arial" w:cs="Arial"/>
                    <w:sz w:val="22"/>
                    <w:szCs w:val="22"/>
                  </w:rPr>
                  <w:t>finalising</w:t>
                </w:r>
                <w:proofErr w:type="spellEnd"/>
                <w:r>
                  <w:rPr>
                    <w:rFonts w:ascii="Arial" w:hAnsi="Arial" w:cs="Arial"/>
                    <w:sz w:val="22"/>
                    <w:szCs w:val="22"/>
                  </w:rPr>
                  <w:t xml:space="preserve"> the data sharing agreement, prior to transferring any referrals.</w:t>
                </w:r>
              </w:p>
              <w:p w14:paraId="4007F087" w14:textId="77777777" w:rsidR="006F5DC2" w:rsidRDefault="006F5DC2" w:rsidP="00703840">
                <w:pPr>
                  <w:pStyle w:val="paragraph"/>
                  <w:numPr>
                    <w:ilvl w:val="0"/>
                    <w:numId w:val="12"/>
                  </w:numPr>
                  <w:spacing w:before="0" w:beforeAutospacing="0" w:after="0" w:afterAutospacing="0"/>
                  <w:jc w:val="both"/>
                  <w:textAlignment w:val="baseline"/>
                  <w:rPr>
                    <w:rFonts w:ascii="Arial" w:hAnsi="Arial" w:cs="Arial"/>
                    <w:sz w:val="22"/>
                    <w:szCs w:val="22"/>
                  </w:rPr>
                </w:pPr>
                <w:r>
                  <w:rPr>
                    <w:rFonts w:ascii="Arial" w:hAnsi="Arial" w:cs="Arial"/>
                    <w:sz w:val="22"/>
                    <w:szCs w:val="22"/>
                  </w:rPr>
                  <w:t>Decision Making Record form to procure this additional capacity under Direct Award C of the Provider Selection Regime (PSR) has been completed and is with the procurement team for review.  Once approved, a Contract Variation will be enacted.</w:t>
                </w:r>
              </w:p>
              <w:p w14:paraId="0BA35033" w14:textId="77777777" w:rsidR="006F5DC2" w:rsidRDefault="006F5DC2" w:rsidP="00703840">
                <w:pPr>
                  <w:pStyle w:val="paragraph"/>
                  <w:numPr>
                    <w:ilvl w:val="0"/>
                    <w:numId w:val="12"/>
                  </w:numPr>
                  <w:spacing w:before="0" w:beforeAutospacing="0" w:after="0" w:afterAutospacing="0"/>
                  <w:jc w:val="both"/>
                  <w:textAlignment w:val="baseline"/>
                  <w:rPr>
                    <w:rFonts w:ascii="Arial" w:hAnsi="Arial" w:cs="Arial"/>
                    <w:sz w:val="22"/>
                    <w:szCs w:val="22"/>
                  </w:rPr>
                </w:pPr>
                <w:r>
                  <w:rPr>
                    <w:rFonts w:ascii="Arial" w:hAnsi="Arial" w:cs="Arial"/>
                    <w:sz w:val="22"/>
                    <w:szCs w:val="22"/>
                  </w:rPr>
                  <w:t>Draft KPI have been shared with WWL to ensure that relevant data can be captured and reported to support evaluation.</w:t>
                </w:r>
              </w:p>
              <w:p w14:paraId="13487040" w14:textId="77777777" w:rsidR="006F5DC2" w:rsidRDefault="006F5DC2" w:rsidP="00703840">
                <w:pPr>
                  <w:pStyle w:val="paragraph"/>
                  <w:numPr>
                    <w:ilvl w:val="0"/>
                    <w:numId w:val="10"/>
                  </w:numPr>
                  <w:spacing w:before="0" w:beforeAutospacing="0" w:after="0" w:afterAutospacing="0"/>
                  <w:ind w:left="314"/>
                  <w:jc w:val="both"/>
                  <w:textAlignment w:val="baseline"/>
                  <w:rPr>
                    <w:rFonts w:ascii="Arial" w:hAnsi="Arial" w:cs="Arial"/>
                    <w:sz w:val="22"/>
                    <w:szCs w:val="22"/>
                  </w:rPr>
                </w:pPr>
                <w:r>
                  <w:rPr>
                    <w:rFonts w:ascii="Arial" w:hAnsi="Arial" w:cs="Arial"/>
                    <w:sz w:val="22"/>
                    <w:szCs w:val="22"/>
                  </w:rPr>
                  <w:t>Procurement of Community Dermatology Service:</w:t>
                </w:r>
              </w:p>
              <w:p w14:paraId="5D06F1CF" w14:textId="77777777" w:rsidR="006F5DC2" w:rsidRDefault="006F5DC2" w:rsidP="00703840">
                <w:pPr>
                  <w:pStyle w:val="paragraph"/>
                  <w:numPr>
                    <w:ilvl w:val="0"/>
                    <w:numId w:val="13"/>
                  </w:numPr>
                  <w:spacing w:before="0" w:beforeAutospacing="0" w:after="0" w:afterAutospacing="0"/>
                  <w:jc w:val="both"/>
                  <w:textAlignment w:val="baseline"/>
                  <w:rPr>
                    <w:rFonts w:ascii="Arial" w:hAnsi="Arial" w:cs="Arial"/>
                    <w:sz w:val="22"/>
                    <w:szCs w:val="22"/>
                  </w:rPr>
                </w:pPr>
                <w:r>
                  <w:rPr>
                    <w:rFonts w:ascii="Arial" w:hAnsi="Arial" w:cs="Arial"/>
                    <w:sz w:val="22"/>
                    <w:szCs w:val="22"/>
                  </w:rPr>
                  <w:t>Invitation to Tender (ITT) launched on 7</w:t>
                </w:r>
                <w:r w:rsidRPr="00132E76">
                  <w:rPr>
                    <w:rFonts w:ascii="Arial" w:hAnsi="Arial" w:cs="Arial"/>
                    <w:sz w:val="22"/>
                    <w:szCs w:val="22"/>
                    <w:vertAlign w:val="superscript"/>
                  </w:rPr>
                  <w:t>th</w:t>
                </w:r>
                <w:r>
                  <w:rPr>
                    <w:rFonts w:ascii="Arial" w:hAnsi="Arial" w:cs="Arial"/>
                    <w:sz w:val="22"/>
                    <w:szCs w:val="22"/>
                  </w:rPr>
                  <w:t xml:space="preserve"> January 2025 and closed on 28</w:t>
                </w:r>
                <w:r w:rsidRPr="00132E76">
                  <w:rPr>
                    <w:rFonts w:ascii="Arial" w:hAnsi="Arial" w:cs="Arial"/>
                    <w:sz w:val="22"/>
                    <w:szCs w:val="22"/>
                    <w:vertAlign w:val="superscript"/>
                  </w:rPr>
                  <w:t>th</w:t>
                </w:r>
                <w:r>
                  <w:rPr>
                    <w:rFonts w:ascii="Arial" w:hAnsi="Arial" w:cs="Arial"/>
                    <w:sz w:val="22"/>
                    <w:szCs w:val="22"/>
                  </w:rPr>
                  <w:t xml:space="preserve"> February 2025.</w:t>
                </w:r>
              </w:p>
              <w:p w14:paraId="6E7772A1" w14:textId="77777777" w:rsidR="006F5DC2" w:rsidRDefault="006F5DC2" w:rsidP="00703840">
                <w:pPr>
                  <w:pStyle w:val="paragraph"/>
                  <w:numPr>
                    <w:ilvl w:val="0"/>
                    <w:numId w:val="13"/>
                  </w:numPr>
                  <w:spacing w:before="0" w:beforeAutospacing="0" w:after="0" w:afterAutospacing="0"/>
                  <w:jc w:val="both"/>
                  <w:textAlignment w:val="baseline"/>
                  <w:rPr>
                    <w:rFonts w:ascii="Arial" w:hAnsi="Arial" w:cs="Arial"/>
                    <w:sz w:val="22"/>
                    <w:szCs w:val="22"/>
                  </w:rPr>
                </w:pPr>
                <w:r>
                  <w:rPr>
                    <w:rFonts w:ascii="Arial" w:hAnsi="Arial" w:cs="Arial"/>
                    <w:sz w:val="22"/>
                    <w:szCs w:val="22"/>
                  </w:rPr>
                  <w:t>Evaluation of bids is scheduled to take place between 10</w:t>
                </w:r>
                <w:r w:rsidRPr="00132E76">
                  <w:rPr>
                    <w:rFonts w:ascii="Arial" w:hAnsi="Arial" w:cs="Arial"/>
                    <w:sz w:val="22"/>
                    <w:szCs w:val="22"/>
                    <w:vertAlign w:val="superscript"/>
                  </w:rPr>
                  <w:t>th</w:t>
                </w:r>
                <w:r>
                  <w:rPr>
                    <w:rFonts w:ascii="Arial" w:hAnsi="Arial" w:cs="Arial"/>
                    <w:sz w:val="22"/>
                    <w:szCs w:val="22"/>
                  </w:rPr>
                  <w:t xml:space="preserve"> and 25</w:t>
                </w:r>
                <w:r w:rsidRPr="00132E76">
                  <w:rPr>
                    <w:rFonts w:ascii="Arial" w:hAnsi="Arial" w:cs="Arial"/>
                    <w:sz w:val="22"/>
                    <w:szCs w:val="22"/>
                    <w:vertAlign w:val="superscript"/>
                  </w:rPr>
                  <w:t>th</w:t>
                </w:r>
                <w:r>
                  <w:rPr>
                    <w:rFonts w:ascii="Arial" w:hAnsi="Arial" w:cs="Arial"/>
                    <w:sz w:val="22"/>
                    <w:szCs w:val="22"/>
                  </w:rPr>
                  <w:t xml:space="preserve"> March 2025 and a schedule of moderation meetings has been set between 31</w:t>
                </w:r>
                <w:r w:rsidRPr="00132E76">
                  <w:rPr>
                    <w:rFonts w:ascii="Arial" w:hAnsi="Arial" w:cs="Arial"/>
                    <w:sz w:val="22"/>
                    <w:szCs w:val="22"/>
                    <w:vertAlign w:val="superscript"/>
                  </w:rPr>
                  <w:t>st</w:t>
                </w:r>
                <w:r>
                  <w:rPr>
                    <w:rFonts w:ascii="Arial" w:hAnsi="Arial" w:cs="Arial"/>
                    <w:sz w:val="22"/>
                    <w:szCs w:val="22"/>
                  </w:rPr>
                  <w:t xml:space="preserve"> March 2025 and 22</w:t>
                </w:r>
                <w:r w:rsidRPr="00132E76">
                  <w:rPr>
                    <w:rFonts w:ascii="Arial" w:hAnsi="Arial" w:cs="Arial"/>
                    <w:sz w:val="22"/>
                    <w:szCs w:val="22"/>
                    <w:vertAlign w:val="superscript"/>
                  </w:rPr>
                  <w:t>nd</w:t>
                </w:r>
                <w:r>
                  <w:rPr>
                    <w:rFonts w:ascii="Arial" w:hAnsi="Arial" w:cs="Arial"/>
                    <w:sz w:val="22"/>
                    <w:szCs w:val="22"/>
                  </w:rPr>
                  <w:t xml:space="preserve"> April 2025.  Current timeline shows service commencement from 8</w:t>
                </w:r>
                <w:r w:rsidRPr="00AD0F21">
                  <w:rPr>
                    <w:rFonts w:ascii="Arial" w:hAnsi="Arial" w:cs="Arial"/>
                    <w:sz w:val="22"/>
                    <w:szCs w:val="22"/>
                    <w:vertAlign w:val="superscript"/>
                  </w:rPr>
                  <w:t>th</w:t>
                </w:r>
                <w:r>
                  <w:rPr>
                    <w:rFonts w:ascii="Arial" w:hAnsi="Arial" w:cs="Arial"/>
                    <w:sz w:val="22"/>
                    <w:szCs w:val="22"/>
                  </w:rPr>
                  <w:t xml:space="preserve"> August 2025.</w:t>
                </w:r>
              </w:p>
              <w:p w14:paraId="777581EC" w14:textId="77777777" w:rsidR="006F5DC2" w:rsidRDefault="006F5DC2" w:rsidP="00703840">
                <w:pPr>
                  <w:pStyle w:val="paragraph"/>
                  <w:numPr>
                    <w:ilvl w:val="0"/>
                    <w:numId w:val="13"/>
                  </w:numPr>
                  <w:spacing w:before="0" w:beforeAutospacing="0" w:after="0" w:afterAutospacing="0"/>
                  <w:jc w:val="both"/>
                  <w:textAlignment w:val="baseline"/>
                  <w:rPr>
                    <w:rFonts w:ascii="Arial" w:hAnsi="Arial" w:cs="Arial"/>
                    <w:sz w:val="22"/>
                    <w:szCs w:val="22"/>
                  </w:rPr>
                </w:pPr>
                <w:r>
                  <w:rPr>
                    <w:rFonts w:ascii="Arial" w:hAnsi="Arial" w:cs="Arial"/>
                    <w:sz w:val="22"/>
                    <w:szCs w:val="22"/>
                  </w:rPr>
                  <w:t>Letters have been sent to existing community providers (About Health, HCRG, DMC Dermatology, WWL and NCA) to confirm the extension of bridging arrangements to 30</w:t>
                </w:r>
                <w:r w:rsidRPr="00D31A00">
                  <w:rPr>
                    <w:rFonts w:ascii="Arial" w:hAnsi="Arial" w:cs="Arial"/>
                    <w:sz w:val="22"/>
                    <w:szCs w:val="22"/>
                    <w:vertAlign w:val="superscript"/>
                  </w:rPr>
                  <w:t>th</w:t>
                </w:r>
                <w:r>
                  <w:rPr>
                    <w:rFonts w:ascii="Arial" w:hAnsi="Arial" w:cs="Arial"/>
                    <w:sz w:val="22"/>
                    <w:szCs w:val="22"/>
                  </w:rPr>
                  <w:t xml:space="preserve"> September 2025 and to request commitment to continue to deliver community dermatology services up to that point to support a safe transition.  To date, About Health, HCRG and NCA have confirmed a commitment to continue to deliver the service until that time.</w:t>
                </w:r>
              </w:p>
              <w:p w14:paraId="72062940" w14:textId="77777777" w:rsidR="006F5DC2" w:rsidRPr="004A4259" w:rsidRDefault="006F5DC2" w:rsidP="00703840">
                <w:pPr>
                  <w:pStyle w:val="paragraph"/>
                  <w:spacing w:before="0" w:beforeAutospacing="0" w:after="0" w:afterAutospacing="0"/>
                  <w:ind w:left="360"/>
                  <w:jc w:val="both"/>
                  <w:textAlignment w:val="baseline"/>
                  <w:rPr>
                    <w:rFonts w:ascii="Arial" w:hAnsi="Arial" w:cs="Arial"/>
                    <w:sz w:val="22"/>
                    <w:szCs w:val="22"/>
                  </w:rPr>
                </w:pPr>
              </w:p>
              <w:p w14:paraId="71697974" w14:textId="77777777" w:rsidR="006F5DC2" w:rsidRPr="00BE3BF0" w:rsidRDefault="006F5DC2" w:rsidP="00703840">
                <w:pPr>
                  <w:jc w:val="both"/>
                  <w:rPr>
                    <w:u w:val="single"/>
                  </w:rPr>
                </w:pPr>
                <w:r w:rsidRPr="00BE3BF0">
                  <w:rPr>
                    <w:u w:val="single"/>
                  </w:rPr>
                  <w:t>Teledermatology/Artificial Intelligence (AI)</w:t>
                </w:r>
                <w:r w:rsidRPr="00BE3BF0">
                  <w:t>:</w:t>
                </w:r>
              </w:p>
              <w:p w14:paraId="7665450F" w14:textId="77777777" w:rsidR="006F5DC2" w:rsidRDefault="006F5DC2" w:rsidP="00703840">
                <w:pPr>
                  <w:pStyle w:val="ListParagraph"/>
                  <w:numPr>
                    <w:ilvl w:val="0"/>
                    <w:numId w:val="8"/>
                  </w:numPr>
                  <w:autoSpaceDE/>
                  <w:autoSpaceDN/>
                  <w:ind w:left="284" w:hanging="284"/>
                  <w:contextualSpacing w:val="0"/>
                  <w:jc w:val="both"/>
                </w:pPr>
                <w:r>
                  <w:t>Bolton went live with Skin Analytics AI on 6</w:t>
                </w:r>
                <w:r w:rsidRPr="00FA3B02">
                  <w:rPr>
                    <w:vertAlign w:val="superscript"/>
                  </w:rPr>
                  <w:t>th</w:t>
                </w:r>
                <w:r>
                  <w:t xml:space="preserve"> January 2025 and Wigan are due to go live by the end of February 2025.  Some good learning has come from the Medical Illustrators at </w:t>
                </w:r>
                <w:proofErr w:type="gramStart"/>
                <w:r>
                  <w:t>Bolton</w:t>
                </w:r>
                <w:proofErr w:type="gramEnd"/>
                <w:r>
                  <w:t xml:space="preserve"> and this will be shared with others.  Oldham implementation remains paused currently whilst resilience issues are worked through. </w:t>
                </w:r>
              </w:p>
              <w:p w14:paraId="26173C46" w14:textId="77777777" w:rsidR="006F5DC2" w:rsidRDefault="006F5DC2" w:rsidP="00703840">
                <w:pPr>
                  <w:pStyle w:val="ListParagraph"/>
                  <w:numPr>
                    <w:ilvl w:val="0"/>
                    <w:numId w:val="8"/>
                  </w:numPr>
                  <w:autoSpaceDE/>
                  <w:autoSpaceDN/>
                  <w:ind w:left="284" w:hanging="284"/>
                  <w:contextualSpacing w:val="0"/>
                  <w:jc w:val="both"/>
                </w:pPr>
                <w:r>
                  <w:t>Final National Institute for Health and Care Excellence (NICE) guidance relating to the use of autonomous AI pathways (no human second read) is now expected around the end of March 2025, having previously been expected in February.  Funding secured via Skin Analytics to continue with second reads for Phase 2 implementation sites whilst NICE guidance is awaited.</w:t>
                </w:r>
              </w:p>
              <w:p w14:paraId="64700B97" w14:textId="77777777" w:rsidR="006F5DC2" w:rsidRPr="004A4259" w:rsidRDefault="006F5DC2" w:rsidP="00703840">
                <w:pPr>
                  <w:pStyle w:val="ListParagraph"/>
                  <w:autoSpaceDE/>
                  <w:autoSpaceDN/>
                  <w:ind w:left="284"/>
                  <w:contextualSpacing w:val="0"/>
                  <w:jc w:val="both"/>
                </w:pPr>
              </w:p>
              <w:p w14:paraId="3979889B" w14:textId="77777777" w:rsidR="006F5DC2" w:rsidRPr="00BE3BF0" w:rsidRDefault="006F5DC2" w:rsidP="00703840">
                <w:pPr>
                  <w:jc w:val="both"/>
                  <w:rPr>
                    <w:u w:val="single"/>
                  </w:rPr>
                </w:pPr>
                <w:r w:rsidRPr="00BE3BF0">
                  <w:rPr>
                    <w:u w:val="single"/>
                  </w:rPr>
                  <w:t>High-Cost drugs</w:t>
                </w:r>
                <w:r w:rsidRPr="00BE3BF0">
                  <w:t>:</w:t>
                </w:r>
              </w:p>
              <w:p w14:paraId="067A799B" w14:textId="77777777" w:rsidR="006F5DC2" w:rsidRDefault="006F5DC2" w:rsidP="00703840">
                <w:pPr>
                  <w:pStyle w:val="ListParagraph"/>
                  <w:numPr>
                    <w:ilvl w:val="0"/>
                    <w:numId w:val="8"/>
                  </w:numPr>
                  <w:autoSpaceDE/>
                  <w:autoSpaceDN/>
                  <w:ind w:left="284" w:hanging="284"/>
                  <w:contextualSpacing w:val="0"/>
                  <w:jc w:val="both"/>
                </w:pPr>
                <w:r w:rsidRPr="004A4259">
                  <w:t xml:space="preserve">The proposal has completed NHSGM governance process, this work now sits with Trusts to develop their internal business cases. </w:t>
                </w:r>
                <w:r>
                  <w:t xml:space="preserve"> The Bolton FT business case has been approved by the trust and is now being implemented.  The Manchester University NHS FT (MFT) business case is progressing through internal trust governance.</w:t>
                </w:r>
              </w:p>
              <w:p w14:paraId="2397D3E0" w14:textId="77777777" w:rsidR="006F5DC2" w:rsidRPr="004A4259" w:rsidRDefault="006F5DC2" w:rsidP="00703840">
                <w:pPr>
                  <w:pStyle w:val="ListParagraph"/>
                  <w:autoSpaceDE/>
                  <w:autoSpaceDN/>
                  <w:ind w:left="284"/>
                  <w:contextualSpacing w:val="0"/>
                  <w:jc w:val="both"/>
                </w:pPr>
              </w:p>
              <w:p w14:paraId="12A8046E" w14:textId="77777777" w:rsidR="006F5DC2" w:rsidRPr="00BE3BF0" w:rsidRDefault="006F5DC2" w:rsidP="00703840">
                <w:pPr>
                  <w:jc w:val="both"/>
                  <w:rPr>
                    <w:u w:val="single"/>
                  </w:rPr>
                </w:pPr>
                <w:r w:rsidRPr="00BE3BF0">
                  <w:rPr>
                    <w:u w:val="single"/>
                  </w:rPr>
                  <w:t>Education</w:t>
                </w:r>
                <w:r w:rsidRPr="00BE3BF0">
                  <w:t>:</w:t>
                </w:r>
              </w:p>
              <w:p w14:paraId="52BEB173" w14:textId="77777777" w:rsidR="006F5DC2" w:rsidRDefault="006F5DC2" w:rsidP="00703840">
                <w:pPr>
                  <w:pStyle w:val="ListParagraph"/>
                  <w:numPr>
                    <w:ilvl w:val="0"/>
                    <w:numId w:val="8"/>
                  </w:numPr>
                  <w:autoSpaceDE/>
                  <w:autoSpaceDN/>
                  <w:ind w:left="284" w:hanging="284"/>
                  <w:contextualSpacing w:val="0"/>
                  <w:jc w:val="both"/>
                </w:pPr>
                <w:r>
                  <w:t xml:space="preserve">December and February </w:t>
                </w:r>
                <w:r w:rsidRPr="004A4259">
                  <w:t>Skin Lesion</w:t>
                </w:r>
                <w:r>
                  <w:t xml:space="preserve"> Recognition education sessions for primary care colleagues have taken place with positive feedback once again received.  The final session in March 2025 is fully booked. </w:t>
                </w:r>
              </w:p>
              <w:p w14:paraId="78AA592C" w14:textId="77777777" w:rsidR="006F5DC2" w:rsidRPr="004A4259" w:rsidRDefault="006F5DC2" w:rsidP="00703840">
                <w:pPr>
                  <w:pStyle w:val="ListParagraph"/>
                  <w:autoSpaceDE/>
                  <w:autoSpaceDN/>
                  <w:ind w:left="284"/>
                  <w:contextualSpacing w:val="0"/>
                  <w:jc w:val="both"/>
                </w:pPr>
              </w:p>
              <w:p w14:paraId="3A2BE95E" w14:textId="77777777" w:rsidR="006F5DC2" w:rsidRPr="00BE3BF0" w:rsidRDefault="006F5DC2" w:rsidP="00703840">
                <w:pPr>
                  <w:jc w:val="both"/>
                  <w:rPr>
                    <w:u w:val="single"/>
                  </w:rPr>
                </w:pPr>
                <w:r w:rsidRPr="00BE3BF0">
                  <w:rPr>
                    <w:u w:val="single"/>
                  </w:rPr>
                  <w:t>Activity &amp; Finance</w:t>
                </w:r>
                <w:r w:rsidRPr="00BE3BF0">
                  <w:t>:</w:t>
                </w:r>
                <w:r w:rsidRPr="00BE3BF0">
                  <w:rPr>
                    <w:u w:val="single"/>
                  </w:rPr>
                  <w:t xml:space="preserve"> </w:t>
                </w:r>
              </w:p>
              <w:p w14:paraId="41A482B5" w14:textId="77777777" w:rsidR="006F5DC2" w:rsidRPr="00BE3BF0" w:rsidRDefault="006F5DC2" w:rsidP="00703840">
                <w:pPr>
                  <w:pStyle w:val="ListParagraph"/>
                  <w:numPr>
                    <w:ilvl w:val="0"/>
                    <w:numId w:val="8"/>
                  </w:numPr>
                  <w:autoSpaceDE/>
                  <w:autoSpaceDN/>
                  <w:ind w:left="284" w:hanging="284"/>
                  <w:contextualSpacing w:val="0"/>
                  <w:jc w:val="both"/>
                  <w:rPr>
                    <w:b/>
                    <w:bCs/>
                  </w:rPr>
                </w:pPr>
                <w:r>
                  <w:t>Development of the workforce model has progressed with input from provider operations and finance colleagues.  Trust costs for 2024-25 are current being produced.</w:t>
                </w:r>
              </w:p>
              <w:p w14:paraId="5F371F23" w14:textId="77777777" w:rsidR="006F5DC2" w:rsidRDefault="006F5DC2" w:rsidP="00703840">
                <w:pPr>
                  <w:autoSpaceDE/>
                  <w:autoSpaceDN/>
                  <w:jc w:val="both"/>
                  <w:rPr>
                    <w:rStyle w:val="normaltextrun"/>
                    <w:b/>
                    <w:bCs/>
                  </w:rPr>
                </w:pPr>
              </w:p>
              <w:p w14:paraId="60B26332" w14:textId="77777777" w:rsidR="006F5DC2" w:rsidRDefault="006F5DC2" w:rsidP="00703840">
                <w:pPr>
                  <w:autoSpaceDE/>
                  <w:autoSpaceDN/>
                  <w:jc w:val="both"/>
                  <w:rPr>
                    <w:rStyle w:val="normaltextrun"/>
                  </w:rPr>
                </w:pPr>
                <w:r w:rsidRPr="00BE3BF0">
                  <w:rPr>
                    <w:rStyle w:val="normaltextrun"/>
                    <w:u w:val="single"/>
                  </w:rPr>
                  <w:t>GM Dermatology Strategy</w:t>
                </w:r>
                <w:r>
                  <w:rPr>
                    <w:rStyle w:val="normaltextrun"/>
                  </w:rPr>
                  <w:t>:</w:t>
                </w:r>
              </w:p>
              <w:p w14:paraId="36945B11" w14:textId="77777777" w:rsidR="006F5DC2" w:rsidRPr="00BE3BF0" w:rsidRDefault="006F5DC2" w:rsidP="00703840">
                <w:pPr>
                  <w:pStyle w:val="ListParagraph"/>
                  <w:numPr>
                    <w:ilvl w:val="0"/>
                    <w:numId w:val="8"/>
                  </w:numPr>
                  <w:autoSpaceDE/>
                  <w:autoSpaceDN/>
                  <w:ind w:left="284" w:hanging="284"/>
                  <w:contextualSpacing w:val="0"/>
                  <w:jc w:val="both"/>
                </w:pPr>
                <w:r w:rsidRPr="00BE3BF0">
                  <w:lastRenderedPageBreak/>
                  <w:t xml:space="preserve">A </w:t>
                </w:r>
                <w:r>
                  <w:t xml:space="preserve">draft strategy outline has been developed and will be </w:t>
                </w:r>
                <w:proofErr w:type="spellStart"/>
                <w:r>
                  <w:t>socialised</w:t>
                </w:r>
                <w:proofErr w:type="spellEnd"/>
                <w:r>
                  <w:t xml:space="preserve"> in due course.</w:t>
                </w:r>
              </w:p>
              <w:p w14:paraId="74767636" w14:textId="77777777" w:rsidR="006F5DC2" w:rsidRPr="00720568" w:rsidRDefault="006F5DC2" w:rsidP="00703840">
                <w:pPr>
                  <w:pStyle w:val="ListParagraph"/>
                  <w:ind w:left="284"/>
                  <w:jc w:val="both"/>
                  <w:rPr>
                    <w:b/>
                    <w:bCs/>
                  </w:rPr>
                </w:pPr>
              </w:p>
            </w:tc>
          </w:tr>
          <w:tr w:rsidR="006F5DC2" w:rsidRPr="00292B5A" w14:paraId="7EFF67BC" w14:textId="77777777" w:rsidTr="00703840">
            <w:trPr>
              <w:trHeight w:val="280"/>
            </w:trPr>
            <w:tc>
              <w:tcPr>
                <w:tcW w:w="10910" w:type="dxa"/>
                <w:shd w:val="clear" w:color="auto" w:fill="3E5F73"/>
              </w:tcPr>
              <w:p w14:paraId="019CFF6B" w14:textId="77777777" w:rsidR="006F5DC2" w:rsidRPr="00292B5A" w:rsidRDefault="006F5DC2" w:rsidP="00703840">
                <w:pPr>
                  <w:rPr>
                    <w:b/>
                    <w:bCs/>
                  </w:rPr>
                </w:pPr>
                <w:r w:rsidRPr="00292B5A">
                  <w:rPr>
                    <w:b/>
                    <w:bCs/>
                    <w:color w:val="FFFFFF" w:themeColor="background1"/>
                  </w:rPr>
                  <w:lastRenderedPageBreak/>
                  <w:t xml:space="preserve">Activities planned in upcoming weeks </w:t>
                </w:r>
              </w:p>
            </w:tc>
          </w:tr>
          <w:tr w:rsidR="006F5DC2" w:rsidRPr="00292B5A" w14:paraId="0A8D444B" w14:textId="77777777" w:rsidTr="00703840">
            <w:trPr>
              <w:trHeight w:val="1403"/>
            </w:trPr>
            <w:tc>
              <w:tcPr>
                <w:tcW w:w="10910" w:type="dxa"/>
              </w:tcPr>
              <w:p w14:paraId="273B9C86" w14:textId="77777777" w:rsidR="006F5DC2" w:rsidRPr="00BE3BF0" w:rsidRDefault="006F5DC2" w:rsidP="00703840">
                <w:pPr>
                  <w:autoSpaceDE/>
                  <w:autoSpaceDN/>
                  <w:jc w:val="both"/>
                </w:pPr>
                <w:r w:rsidRPr="00BE3BF0">
                  <w:rPr>
                    <w:u w:val="single"/>
                  </w:rPr>
                  <w:t>Model of Care Implementation</w:t>
                </w:r>
                <w:r>
                  <w:t>:</w:t>
                </w:r>
              </w:p>
              <w:p w14:paraId="34F07E0C" w14:textId="77777777" w:rsidR="006F5DC2" w:rsidRDefault="006F5DC2" w:rsidP="00703840">
                <w:pPr>
                  <w:pStyle w:val="ListParagraph"/>
                  <w:numPr>
                    <w:ilvl w:val="0"/>
                    <w:numId w:val="8"/>
                  </w:numPr>
                  <w:autoSpaceDE/>
                  <w:autoSpaceDN/>
                  <w:ind w:left="284" w:hanging="284"/>
                  <w:contextualSpacing w:val="0"/>
                  <w:jc w:val="both"/>
                </w:pPr>
                <w:r>
                  <w:t xml:space="preserve">SPoA implementation to continue across GM localities alongside development of KPIs to be able to monitor </w:t>
                </w:r>
              </w:p>
              <w:p w14:paraId="09206323" w14:textId="77777777" w:rsidR="006F5DC2" w:rsidRDefault="006F5DC2" w:rsidP="00703840">
                <w:pPr>
                  <w:pStyle w:val="ListParagraph"/>
                  <w:numPr>
                    <w:ilvl w:val="0"/>
                    <w:numId w:val="8"/>
                  </w:numPr>
                  <w:autoSpaceDE/>
                  <w:autoSpaceDN/>
                  <w:ind w:left="284" w:hanging="284"/>
                  <w:contextualSpacing w:val="0"/>
                  <w:jc w:val="both"/>
                </w:pPr>
                <w:r>
                  <w:t>and evaluate the impact.</w:t>
                </w:r>
              </w:p>
              <w:p w14:paraId="3A87E1D9" w14:textId="77777777" w:rsidR="006F5DC2" w:rsidRDefault="006F5DC2" w:rsidP="00703840">
                <w:pPr>
                  <w:pStyle w:val="ListParagraph"/>
                  <w:numPr>
                    <w:ilvl w:val="0"/>
                    <w:numId w:val="8"/>
                  </w:numPr>
                  <w:autoSpaceDE/>
                  <w:autoSpaceDN/>
                  <w:ind w:left="284" w:hanging="284"/>
                  <w:contextualSpacing w:val="0"/>
                  <w:jc w:val="both"/>
                </w:pPr>
                <w:r>
                  <w:t xml:space="preserve">Additional community capacity at About Health to be </w:t>
                </w:r>
                <w:proofErr w:type="spellStart"/>
                <w:r>
                  <w:t>mobilised</w:t>
                </w:r>
                <w:proofErr w:type="spellEnd"/>
                <w:r>
                  <w:t xml:space="preserve"> by WWL and progression of the PSR form to enable a Contract Variation to be produced.</w:t>
                </w:r>
              </w:p>
              <w:p w14:paraId="09F01B26" w14:textId="77777777" w:rsidR="006F5DC2" w:rsidRDefault="006F5DC2" w:rsidP="00703840">
                <w:pPr>
                  <w:pStyle w:val="ListParagraph"/>
                  <w:numPr>
                    <w:ilvl w:val="0"/>
                    <w:numId w:val="8"/>
                  </w:numPr>
                  <w:autoSpaceDE/>
                  <w:autoSpaceDN/>
                  <w:ind w:left="284" w:hanging="284"/>
                  <w:contextualSpacing w:val="0"/>
                  <w:jc w:val="both"/>
                </w:pPr>
                <w:r>
                  <w:t>Evaluation and moderation of bids under the Community Dermatology Service procurement.</w:t>
                </w:r>
              </w:p>
              <w:p w14:paraId="5B4E480F" w14:textId="77777777" w:rsidR="006F5DC2" w:rsidRDefault="006F5DC2" w:rsidP="00703840">
                <w:pPr>
                  <w:pStyle w:val="ListParagraph"/>
                  <w:numPr>
                    <w:ilvl w:val="0"/>
                    <w:numId w:val="8"/>
                  </w:numPr>
                  <w:autoSpaceDE/>
                  <w:autoSpaceDN/>
                  <w:ind w:left="284" w:hanging="284"/>
                  <w:contextualSpacing w:val="0"/>
                  <w:jc w:val="both"/>
                </w:pPr>
                <w:r>
                  <w:t>Progress ICB governance to enable bridging arrangements to be put in place for incumbent community dermatology service providers.</w:t>
                </w:r>
              </w:p>
              <w:p w14:paraId="652F5DAF" w14:textId="77777777" w:rsidR="006F5DC2" w:rsidRDefault="006F5DC2" w:rsidP="00703840">
                <w:pPr>
                  <w:pStyle w:val="ListParagraph"/>
                  <w:autoSpaceDE/>
                  <w:autoSpaceDN/>
                  <w:ind w:left="284"/>
                  <w:contextualSpacing w:val="0"/>
                  <w:jc w:val="both"/>
                </w:pPr>
              </w:p>
              <w:p w14:paraId="6529F48A" w14:textId="77777777" w:rsidR="006F5DC2" w:rsidRPr="00BE3BF0" w:rsidRDefault="006F5DC2" w:rsidP="00703840">
                <w:pPr>
                  <w:autoSpaceDE/>
                  <w:autoSpaceDN/>
                  <w:jc w:val="both"/>
                </w:pPr>
                <w:r w:rsidRPr="00BE3BF0">
                  <w:rPr>
                    <w:u w:val="single"/>
                  </w:rPr>
                  <w:t>Education</w:t>
                </w:r>
                <w:r>
                  <w:t xml:space="preserve">: </w:t>
                </w:r>
              </w:p>
              <w:p w14:paraId="1597368A" w14:textId="77777777" w:rsidR="006F5DC2" w:rsidRDefault="006F5DC2" w:rsidP="00703840">
                <w:pPr>
                  <w:pStyle w:val="ListParagraph"/>
                  <w:numPr>
                    <w:ilvl w:val="0"/>
                    <w:numId w:val="8"/>
                  </w:numPr>
                  <w:autoSpaceDE/>
                  <w:autoSpaceDN/>
                  <w:ind w:left="284" w:hanging="284"/>
                  <w:contextualSpacing w:val="0"/>
                  <w:jc w:val="both"/>
                </w:pPr>
                <w:r>
                  <w:t>Final primary care education session of 2024-25 to take place.</w:t>
                </w:r>
              </w:p>
              <w:p w14:paraId="65140EE4" w14:textId="77777777" w:rsidR="006F5DC2" w:rsidRDefault="006F5DC2" w:rsidP="00703840">
                <w:pPr>
                  <w:pStyle w:val="ListParagraph"/>
                  <w:numPr>
                    <w:ilvl w:val="0"/>
                    <w:numId w:val="8"/>
                  </w:numPr>
                  <w:autoSpaceDE/>
                  <w:autoSpaceDN/>
                  <w:ind w:left="284" w:hanging="284"/>
                  <w:contextualSpacing w:val="0"/>
                  <w:jc w:val="both"/>
                </w:pPr>
                <w:r>
                  <w:t>Liaise with the GM Cancer Alliance regarding potential funding for sessions in 2025-26.</w:t>
                </w:r>
              </w:p>
              <w:p w14:paraId="4D8C3AF6" w14:textId="77777777" w:rsidR="006F5DC2" w:rsidRDefault="006F5DC2" w:rsidP="00703840">
                <w:pPr>
                  <w:pStyle w:val="ListParagraph"/>
                  <w:autoSpaceDE/>
                  <w:autoSpaceDN/>
                  <w:ind w:left="284"/>
                  <w:contextualSpacing w:val="0"/>
                  <w:jc w:val="both"/>
                </w:pPr>
              </w:p>
              <w:p w14:paraId="17BECC0E" w14:textId="77777777" w:rsidR="006F5DC2" w:rsidRPr="00BE3BF0" w:rsidRDefault="006F5DC2" w:rsidP="00703840">
                <w:pPr>
                  <w:autoSpaceDE/>
                  <w:autoSpaceDN/>
                  <w:jc w:val="both"/>
                </w:pPr>
                <w:r w:rsidRPr="00BE3BF0">
                  <w:rPr>
                    <w:u w:val="single"/>
                  </w:rPr>
                  <w:t>GM Dermatology Strategy</w:t>
                </w:r>
                <w:r>
                  <w:t>:</w:t>
                </w:r>
              </w:p>
              <w:p w14:paraId="0DA70304" w14:textId="77777777" w:rsidR="006F5DC2" w:rsidRDefault="006F5DC2" w:rsidP="00703840">
                <w:pPr>
                  <w:pStyle w:val="ListParagraph"/>
                  <w:numPr>
                    <w:ilvl w:val="0"/>
                    <w:numId w:val="8"/>
                  </w:numPr>
                  <w:autoSpaceDE/>
                  <w:autoSpaceDN/>
                  <w:ind w:left="284" w:hanging="284"/>
                  <w:contextualSpacing w:val="0"/>
                  <w:jc w:val="both"/>
                </w:pPr>
                <w:r>
                  <w:t xml:space="preserve">Draft strategy to be </w:t>
                </w:r>
                <w:proofErr w:type="spellStart"/>
                <w:r>
                  <w:t>socialised</w:t>
                </w:r>
                <w:proofErr w:type="spellEnd"/>
                <w:r>
                  <w:t xml:space="preserve"> through relevant forums across GM.  This will lead to the development of business cases to support the Single / Lead Provider development.</w:t>
                </w:r>
              </w:p>
              <w:p w14:paraId="5B2B6055" w14:textId="77777777" w:rsidR="006F5DC2" w:rsidRDefault="006F5DC2" w:rsidP="00703840">
                <w:pPr>
                  <w:autoSpaceDE/>
                  <w:autoSpaceDN/>
                  <w:jc w:val="both"/>
                </w:pPr>
              </w:p>
              <w:p w14:paraId="2A1B7958" w14:textId="77777777" w:rsidR="006F5DC2" w:rsidRDefault="006F5DC2" w:rsidP="00703840">
                <w:pPr>
                  <w:autoSpaceDE/>
                  <w:autoSpaceDN/>
                  <w:jc w:val="both"/>
                </w:pPr>
                <w:r w:rsidRPr="00AA050C">
                  <w:rPr>
                    <w:u w:val="single"/>
                  </w:rPr>
                  <w:t>Teledermatology / AI</w:t>
                </w:r>
                <w:r>
                  <w:t>:</w:t>
                </w:r>
              </w:p>
              <w:p w14:paraId="7B0ADDFC" w14:textId="77777777" w:rsidR="006F5DC2" w:rsidRPr="00AA050C" w:rsidRDefault="006F5DC2" w:rsidP="00703840">
                <w:pPr>
                  <w:pStyle w:val="ListParagraph"/>
                  <w:numPr>
                    <w:ilvl w:val="0"/>
                    <w:numId w:val="8"/>
                  </w:numPr>
                  <w:autoSpaceDE/>
                  <w:autoSpaceDN/>
                  <w:ind w:left="284" w:hanging="284"/>
                  <w:contextualSpacing w:val="0"/>
                  <w:jc w:val="both"/>
                </w:pPr>
                <w:r>
                  <w:t xml:space="preserve">WWL to go live with Skin Analytics AI.  </w:t>
                </w:r>
                <w:proofErr w:type="gramStart"/>
                <w:r>
                  <w:t>With the exception of</w:t>
                </w:r>
                <w:proofErr w:type="gramEnd"/>
                <w:r>
                  <w:t xml:space="preserve"> Oldham Locality, all GM Localities will have AI teledermatology provision in place.</w:t>
                </w:r>
              </w:p>
              <w:p w14:paraId="6AF31583" w14:textId="77777777" w:rsidR="006F5DC2" w:rsidRPr="00BE3BF0" w:rsidRDefault="006F5DC2" w:rsidP="00703840">
                <w:pPr>
                  <w:autoSpaceDE/>
                  <w:autoSpaceDN/>
                  <w:jc w:val="both"/>
                </w:pPr>
              </w:p>
            </w:tc>
          </w:tr>
          <w:tr w:rsidR="006F5DC2" w:rsidRPr="00292B5A" w14:paraId="530602F2" w14:textId="77777777" w:rsidTr="00703840">
            <w:trPr>
              <w:trHeight w:val="268"/>
            </w:trPr>
            <w:tc>
              <w:tcPr>
                <w:tcW w:w="10910" w:type="dxa"/>
                <w:shd w:val="clear" w:color="auto" w:fill="3E5F73"/>
              </w:tcPr>
              <w:p w14:paraId="6881B4E7" w14:textId="77777777" w:rsidR="006F5DC2" w:rsidRPr="00292B5A" w:rsidRDefault="006F5DC2" w:rsidP="00703840">
                <w:pPr>
                  <w:rPr>
                    <w:b/>
                    <w:bCs/>
                    <w:color w:val="FFFFFF" w:themeColor="background1"/>
                  </w:rPr>
                </w:pPr>
                <w:r w:rsidRPr="00292B5A">
                  <w:rPr>
                    <w:b/>
                    <w:bCs/>
                    <w:color w:val="FFFFFF" w:themeColor="background1"/>
                  </w:rPr>
                  <w:t>Interdependencies</w:t>
                </w:r>
              </w:p>
            </w:tc>
          </w:tr>
          <w:tr w:rsidR="006F5DC2" w:rsidRPr="00292B5A" w14:paraId="76983DC7" w14:textId="77777777" w:rsidTr="00703840">
            <w:trPr>
              <w:trHeight w:val="268"/>
            </w:trPr>
            <w:tc>
              <w:tcPr>
                <w:tcW w:w="10910" w:type="dxa"/>
                <w:shd w:val="clear" w:color="auto" w:fill="auto"/>
              </w:tcPr>
              <w:p w14:paraId="28ABCF83" w14:textId="77777777" w:rsidR="006F5DC2" w:rsidRPr="00F033D5" w:rsidRDefault="006F5DC2" w:rsidP="00703840">
                <w:pPr>
                  <w:pStyle w:val="ListParagraph"/>
                  <w:ind w:left="284"/>
                  <w:jc w:val="both"/>
                </w:pPr>
              </w:p>
              <w:p w14:paraId="6244A702"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Primary Care</w:t>
                </w:r>
                <w:r>
                  <w:t>: SPOA implementation will require a different way of working by GP practice staff.</w:t>
                </w:r>
              </w:p>
              <w:p w14:paraId="7EC7F06F"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Elective system board</w:t>
                </w:r>
                <w:r>
                  <w:t xml:space="preserve">: Elective outpatient transformation, including potential gateway, will impact on dermatology transformation.  </w:t>
                </w:r>
              </w:p>
              <w:p w14:paraId="575FC410"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Diagnostics system board</w:t>
                </w:r>
                <w:r>
                  <w:t>: Pressures on histopathology provision due to high volume of Suspected Cancer Referrals (SCR).</w:t>
                </w:r>
              </w:p>
              <w:p w14:paraId="0FF18FD4"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GM Cancer Alliance</w:t>
                </w:r>
                <w:r>
                  <w:t>: GMCA taking a lead on teledermatology implementation for SCR. Have also financially supported the provision of skin lesion recognition education sessions for primary care clinicians.</w:t>
                </w:r>
              </w:p>
              <w:p w14:paraId="41276EB7"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NHS Provider trusts</w:t>
                </w:r>
                <w:r>
                  <w:t>: Existing providers with a variety of sustainability, workforce and performance challenges.  Interdependency specifically with NCA around the outcome of Lead / Single Provider Model discussions.</w:t>
                </w:r>
              </w:p>
              <w:p w14:paraId="20CF2CE3" w14:textId="77777777" w:rsidR="006F5DC2" w:rsidRDefault="006F5DC2" w:rsidP="00703840">
                <w:pPr>
                  <w:pStyle w:val="ListParagraph"/>
                  <w:numPr>
                    <w:ilvl w:val="0"/>
                    <w:numId w:val="9"/>
                  </w:numPr>
                  <w:autoSpaceDE/>
                  <w:autoSpaceDN/>
                  <w:ind w:left="284" w:hanging="284"/>
                  <w:contextualSpacing w:val="0"/>
                  <w:jc w:val="both"/>
                </w:pPr>
                <w:r w:rsidRPr="001F554F">
                  <w:rPr>
                    <w:u w:val="single"/>
                  </w:rPr>
                  <w:t>IS Providers</w:t>
                </w:r>
                <w:r>
                  <w:t>: Currently providing community services in five localities.  These services will not be recommissioned for 2025-26 as the new GM specification is introduced via procurement route.</w:t>
                </w:r>
              </w:p>
              <w:p w14:paraId="46F9C21A" w14:textId="77777777" w:rsidR="006F5DC2" w:rsidRPr="00292B5A" w:rsidRDefault="006F5DC2" w:rsidP="00703840">
                <w:pPr>
                  <w:pStyle w:val="ListParagraph"/>
                  <w:ind w:left="284"/>
                  <w:jc w:val="both"/>
                </w:pPr>
              </w:p>
            </w:tc>
          </w:tr>
          <w:tr w:rsidR="006F5DC2" w:rsidRPr="00292B5A" w14:paraId="589C3DC7" w14:textId="77777777" w:rsidTr="00703840">
            <w:trPr>
              <w:trHeight w:val="268"/>
            </w:trPr>
            <w:tc>
              <w:tcPr>
                <w:tcW w:w="10910" w:type="dxa"/>
                <w:shd w:val="clear" w:color="auto" w:fill="3E5F73"/>
              </w:tcPr>
              <w:p w14:paraId="4986EF6E" w14:textId="77777777" w:rsidR="006F5DC2" w:rsidRPr="00292B5A" w:rsidRDefault="006F5DC2" w:rsidP="00703840">
                <w:pPr>
                  <w:rPr>
                    <w:b/>
                    <w:bCs/>
                  </w:rPr>
                </w:pPr>
                <w:r w:rsidRPr="00292B5A">
                  <w:rPr>
                    <w:b/>
                    <w:bCs/>
                    <w:color w:val="FFFFFF" w:themeColor="background1"/>
                  </w:rPr>
                  <w:t>Identified issues and</w:t>
                </w:r>
                <w:r>
                  <w:rPr>
                    <w:b/>
                    <w:bCs/>
                    <w:color w:val="FFFFFF" w:themeColor="background1"/>
                  </w:rPr>
                  <w:t xml:space="preserve"> </w:t>
                </w:r>
                <w:r w:rsidRPr="00292B5A">
                  <w:rPr>
                    <w:b/>
                    <w:bCs/>
                    <w:color w:val="FFFFFF" w:themeColor="background1"/>
                  </w:rPr>
                  <w:t>/ or risks (log to be updated)</w:t>
                </w:r>
              </w:p>
            </w:tc>
          </w:tr>
          <w:tr w:rsidR="006F5DC2" w:rsidRPr="00292B5A" w14:paraId="444A8840" w14:textId="77777777" w:rsidTr="00703840">
            <w:trPr>
              <w:trHeight w:val="567"/>
            </w:trPr>
            <w:tc>
              <w:tcPr>
                <w:tcW w:w="10910" w:type="dxa"/>
              </w:tcPr>
              <w:p w14:paraId="7CFAEDEE" w14:textId="77777777" w:rsidR="006F5DC2" w:rsidRDefault="006F5DC2" w:rsidP="00703840">
                <w:pPr>
                  <w:autoSpaceDE/>
                  <w:autoSpaceDN/>
                  <w:jc w:val="both"/>
                </w:pPr>
                <w:r>
                  <w:t>The current risk register has 13 live risks with 6 of those risks with a current score of 15 or above</w:t>
                </w:r>
              </w:p>
              <w:p w14:paraId="4186C037" w14:textId="77777777" w:rsidR="006F5DC2" w:rsidRDefault="006F5DC2" w:rsidP="00703840">
                <w:pPr>
                  <w:autoSpaceDE/>
                  <w:autoSpaceDN/>
                  <w:jc w:val="both"/>
                </w:pPr>
              </w:p>
              <w:p w14:paraId="6988E874" w14:textId="77777777" w:rsidR="006F5DC2" w:rsidRPr="00292B5A" w:rsidRDefault="006F5DC2" w:rsidP="00703840">
                <w:pPr>
                  <w:autoSpaceDE/>
                  <w:autoSpaceDN/>
                  <w:jc w:val="both"/>
                </w:pPr>
                <w:r>
                  <w:t xml:space="preserve">It should be noted that HCRG have confirmed their plans to exit the market at the end of bridging arrangements (30/09/2025).  This provider delivers the community dermatology and suspected cancer activity for the Oldham Locality.  It is expected that the Community Dermatology tender will mitigate the risk for the community dermatology patient cohort, however a solution needs to be identified for patients referred via a suspected cancer pathway.  NCA have confirmed that they cannot support referrals from this Locality at the current time due to the ongoing pressures on their service, but this may be possible at a future date and will be explored as part of the Single/Lead Provider development. Discussion and options are being explored, alongside GM Cancer Alliance for the </w:t>
                </w:r>
                <w:proofErr w:type="gramStart"/>
                <w:r>
                  <w:t>short term</w:t>
                </w:r>
                <w:proofErr w:type="gramEnd"/>
                <w:r>
                  <w:t xml:space="preserve"> provision.  A further update will be provided to Board members once this is completed.  </w:t>
                </w:r>
              </w:p>
            </w:tc>
          </w:tr>
        </w:tbl>
        <w:p w14:paraId="6F100AF8" w14:textId="7A59DE7B" w:rsidR="006F5DC2" w:rsidRDefault="00000000" w:rsidP="00EB30CB"/>
      </w:sdtContent>
    </w:sdt>
    <w:sectPr w:rsidR="006F5DC2" w:rsidSect="00B50660">
      <w:pgSz w:w="11910" w:h="16840"/>
      <w:pgMar w:top="851" w:right="851" w:bottom="851" w:left="851" w:header="720" w:footer="113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ED3AF" w14:textId="77777777" w:rsidR="00F17CB7" w:rsidRDefault="00F17CB7" w:rsidP="005B4F22">
      <w:r>
        <w:separator/>
      </w:r>
    </w:p>
  </w:endnote>
  <w:endnote w:type="continuationSeparator" w:id="0">
    <w:p w14:paraId="289F90C9" w14:textId="77777777" w:rsidR="00F17CB7" w:rsidRDefault="00F17CB7" w:rsidP="005B4F22">
      <w:r>
        <w:continuationSeparator/>
      </w:r>
    </w:p>
  </w:endnote>
  <w:endnote w:type="continuationNotice" w:id="1">
    <w:p w14:paraId="7C06FF0A" w14:textId="77777777" w:rsidR="00F17CB7" w:rsidRDefault="00F17C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08014" w14:textId="77777777" w:rsidR="006F5DC2" w:rsidRDefault="006F5DC2" w:rsidP="006E3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8E7BDF" w14:textId="77777777" w:rsidR="006F5DC2" w:rsidRDefault="006F5DC2" w:rsidP="000C3C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8068097"/>
      <w:docPartObj>
        <w:docPartGallery w:val="Page Numbers (Bottom of Page)"/>
        <w:docPartUnique/>
      </w:docPartObj>
    </w:sdtPr>
    <w:sdtContent>
      <w:p w14:paraId="14265F58" w14:textId="77777777" w:rsidR="006F5DC2" w:rsidRDefault="006F5DC2" w:rsidP="006E3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F246F37" w14:textId="77777777" w:rsidR="006F5DC2" w:rsidRDefault="006F5DC2" w:rsidP="000C3C7F">
    <w:pPr>
      <w:spacing w:before="116"/>
      <w:ind w:right="360"/>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7289B" w14:textId="77777777" w:rsidR="00F17CB7" w:rsidRDefault="00F17CB7" w:rsidP="005B4F22">
      <w:r>
        <w:separator/>
      </w:r>
    </w:p>
  </w:footnote>
  <w:footnote w:type="continuationSeparator" w:id="0">
    <w:p w14:paraId="62A84024" w14:textId="77777777" w:rsidR="00F17CB7" w:rsidRDefault="00F17CB7" w:rsidP="005B4F22">
      <w:r>
        <w:continuationSeparator/>
      </w:r>
    </w:p>
  </w:footnote>
  <w:footnote w:type="continuationNotice" w:id="1">
    <w:p w14:paraId="173BA28F" w14:textId="77777777" w:rsidR="00F17CB7" w:rsidRDefault="00F17C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F078" w14:textId="0F59E818" w:rsidR="006F5DC2" w:rsidRDefault="006F5DC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0327D"/>
    <w:multiLevelType w:val="hybridMultilevel"/>
    <w:tmpl w:val="BB08BC68"/>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FC70CA"/>
    <w:multiLevelType w:val="hybridMultilevel"/>
    <w:tmpl w:val="BB0AE7C0"/>
    <w:lvl w:ilvl="0" w:tplc="D7429C4C">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531A3E"/>
    <w:multiLevelType w:val="hybridMultilevel"/>
    <w:tmpl w:val="F4D41FE6"/>
    <w:lvl w:ilvl="0" w:tplc="03ECCC40">
      <w:start w:val="1"/>
      <w:numFmt w:val="bullet"/>
      <w:lvlText w:val="•"/>
      <w:lvlJc w:val="left"/>
      <w:pPr>
        <w:tabs>
          <w:tab w:val="num" w:pos="360"/>
        </w:tabs>
        <w:ind w:left="360" w:hanging="360"/>
      </w:pPr>
      <w:rPr>
        <w:rFonts w:ascii="Arial" w:hAnsi="Arial" w:hint="default"/>
      </w:rPr>
    </w:lvl>
    <w:lvl w:ilvl="1" w:tplc="273CACAA">
      <w:start w:val="1"/>
      <w:numFmt w:val="bullet"/>
      <w:lvlText w:val="•"/>
      <w:lvlJc w:val="left"/>
      <w:pPr>
        <w:tabs>
          <w:tab w:val="num" w:pos="1080"/>
        </w:tabs>
        <w:ind w:left="1080" w:hanging="360"/>
      </w:pPr>
      <w:rPr>
        <w:rFonts w:ascii="Arial" w:hAnsi="Arial" w:hint="default"/>
      </w:rPr>
    </w:lvl>
    <w:lvl w:ilvl="2" w:tplc="92FE9BF8" w:tentative="1">
      <w:start w:val="1"/>
      <w:numFmt w:val="bullet"/>
      <w:lvlText w:val="•"/>
      <w:lvlJc w:val="left"/>
      <w:pPr>
        <w:tabs>
          <w:tab w:val="num" w:pos="1800"/>
        </w:tabs>
        <w:ind w:left="1800" w:hanging="360"/>
      </w:pPr>
      <w:rPr>
        <w:rFonts w:ascii="Arial" w:hAnsi="Arial" w:hint="default"/>
      </w:rPr>
    </w:lvl>
    <w:lvl w:ilvl="3" w:tplc="F60243BA" w:tentative="1">
      <w:start w:val="1"/>
      <w:numFmt w:val="bullet"/>
      <w:lvlText w:val="•"/>
      <w:lvlJc w:val="left"/>
      <w:pPr>
        <w:tabs>
          <w:tab w:val="num" w:pos="2520"/>
        </w:tabs>
        <w:ind w:left="2520" w:hanging="360"/>
      </w:pPr>
      <w:rPr>
        <w:rFonts w:ascii="Arial" w:hAnsi="Arial" w:hint="default"/>
      </w:rPr>
    </w:lvl>
    <w:lvl w:ilvl="4" w:tplc="9A0C3EB2" w:tentative="1">
      <w:start w:val="1"/>
      <w:numFmt w:val="bullet"/>
      <w:lvlText w:val="•"/>
      <w:lvlJc w:val="left"/>
      <w:pPr>
        <w:tabs>
          <w:tab w:val="num" w:pos="3240"/>
        </w:tabs>
        <w:ind w:left="3240" w:hanging="360"/>
      </w:pPr>
      <w:rPr>
        <w:rFonts w:ascii="Arial" w:hAnsi="Arial" w:hint="default"/>
      </w:rPr>
    </w:lvl>
    <w:lvl w:ilvl="5" w:tplc="97B8F280" w:tentative="1">
      <w:start w:val="1"/>
      <w:numFmt w:val="bullet"/>
      <w:lvlText w:val="•"/>
      <w:lvlJc w:val="left"/>
      <w:pPr>
        <w:tabs>
          <w:tab w:val="num" w:pos="3960"/>
        </w:tabs>
        <w:ind w:left="3960" w:hanging="360"/>
      </w:pPr>
      <w:rPr>
        <w:rFonts w:ascii="Arial" w:hAnsi="Arial" w:hint="default"/>
      </w:rPr>
    </w:lvl>
    <w:lvl w:ilvl="6" w:tplc="CA66599A" w:tentative="1">
      <w:start w:val="1"/>
      <w:numFmt w:val="bullet"/>
      <w:lvlText w:val="•"/>
      <w:lvlJc w:val="left"/>
      <w:pPr>
        <w:tabs>
          <w:tab w:val="num" w:pos="4680"/>
        </w:tabs>
        <w:ind w:left="4680" w:hanging="360"/>
      </w:pPr>
      <w:rPr>
        <w:rFonts w:ascii="Arial" w:hAnsi="Arial" w:hint="default"/>
      </w:rPr>
    </w:lvl>
    <w:lvl w:ilvl="7" w:tplc="C7D84166" w:tentative="1">
      <w:start w:val="1"/>
      <w:numFmt w:val="bullet"/>
      <w:lvlText w:val="•"/>
      <w:lvlJc w:val="left"/>
      <w:pPr>
        <w:tabs>
          <w:tab w:val="num" w:pos="5400"/>
        </w:tabs>
        <w:ind w:left="5400" w:hanging="360"/>
      </w:pPr>
      <w:rPr>
        <w:rFonts w:ascii="Arial" w:hAnsi="Arial" w:hint="default"/>
      </w:rPr>
    </w:lvl>
    <w:lvl w:ilvl="8" w:tplc="7394631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9D721FD"/>
    <w:multiLevelType w:val="hybridMultilevel"/>
    <w:tmpl w:val="19785D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3A5B8E"/>
    <w:multiLevelType w:val="hybridMultilevel"/>
    <w:tmpl w:val="1EE6C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A311BE"/>
    <w:multiLevelType w:val="hybridMultilevel"/>
    <w:tmpl w:val="CE7271DA"/>
    <w:lvl w:ilvl="0" w:tplc="39E432E4">
      <w:start w:val="1"/>
      <w:numFmt w:val="bullet"/>
      <w:lvlText w:val="•"/>
      <w:lvlJc w:val="left"/>
      <w:pPr>
        <w:tabs>
          <w:tab w:val="num" w:pos="720"/>
        </w:tabs>
        <w:ind w:left="720" w:hanging="360"/>
      </w:pPr>
      <w:rPr>
        <w:rFonts w:ascii="Arial" w:hAnsi="Arial" w:hint="default"/>
      </w:rPr>
    </w:lvl>
    <w:lvl w:ilvl="1" w:tplc="9C9E0858" w:tentative="1">
      <w:start w:val="1"/>
      <w:numFmt w:val="bullet"/>
      <w:lvlText w:val="•"/>
      <w:lvlJc w:val="left"/>
      <w:pPr>
        <w:tabs>
          <w:tab w:val="num" w:pos="1440"/>
        </w:tabs>
        <w:ind w:left="1440" w:hanging="360"/>
      </w:pPr>
      <w:rPr>
        <w:rFonts w:ascii="Arial" w:hAnsi="Arial" w:hint="default"/>
      </w:rPr>
    </w:lvl>
    <w:lvl w:ilvl="2" w:tplc="9A16ED78" w:tentative="1">
      <w:start w:val="1"/>
      <w:numFmt w:val="bullet"/>
      <w:lvlText w:val="•"/>
      <w:lvlJc w:val="left"/>
      <w:pPr>
        <w:tabs>
          <w:tab w:val="num" w:pos="2160"/>
        </w:tabs>
        <w:ind w:left="2160" w:hanging="360"/>
      </w:pPr>
      <w:rPr>
        <w:rFonts w:ascii="Arial" w:hAnsi="Arial" w:hint="default"/>
      </w:rPr>
    </w:lvl>
    <w:lvl w:ilvl="3" w:tplc="B9C6713C" w:tentative="1">
      <w:start w:val="1"/>
      <w:numFmt w:val="bullet"/>
      <w:lvlText w:val="•"/>
      <w:lvlJc w:val="left"/>
      <w:pPr>
        <w:tabs>
          <w:tab w:val="num" w:pos="2880"/>
        </w:tabs>
        <w:ind w:left="2880" w:hanging="360"/>
      </w:pPr>
      <w:rPr>
        <w:rFonts w:ascii="Arial" w:hAnsi="Arial" w:hint="default"/>
      </w:rPr>
    </w:lvl>
    <w:lvl w:ilvl="4" w:tplc="716CB9A0" w:tentative="1">
      <w:start w:val="1"/>
      <w:numFmt w:val="bullet"/>
      <w:lvlText w:val="•"/>
      <w:lvlJc w:val="left"/>
      <w:pPr>
        <w:tabs>
          <w:tab w:val="num" w:pos="3600"/>
        </w:tabs>
        <w:ind w:left="3600" w:hanging="360"/>
      </w:pPr>
      <w:rPr>
        <w:rFonts w:ascii="Arial" w:hAnsi="Arial" w:hint="default"/>
      </w:rPr>
    </w:lvl>
    <w:lvl w:ilvl="5" w:tplc="C35E860A" w:tentative="1">
      <w:start w:val="1"/>
      <w:numFmt w:val="bullet"/>
      <w:lvlText w:val="•"/>
      <w:lvlJc w:val="left"/>
      <w:pPr>
        <w:tabs>
          <w:tab w:val="num" w:pos="4320"/>
        </w:tabs>
        <w:ind w:left="4320" w:hanging="360"/>
      </w:pPr>
      <w:rPr>
        <w:rFonts w:ascii="Arial" w:hAnsi="Arial" w:hint="default"/>
      </w:rPr>
    </w:lvl>
    <w:lvl w:ilvl="6" w:tplc="C54EE738" w:tentative="1">
      <w:start w:val="1"/>
      <w:numFmt w:val="bullet"/>
      <w:lvlText w:val="•"/>
      <w:lvlJc w:val="left"/>
      <w:pPr>
        <w:tabs>
          <w:tab w:val="num" w:pos="5040"/>
        </w:tabs>
        <w:ind w:left="5040" w:hanging="360"/>
      </w:pPr>
      <w:rPr>
        <w:rFonts w:ascii="Arial" w:hAnsi="Arial" w:hint="default"/>
      </w:rPr>
    </w:lvl>
    <w:lvl w:ilvl="7" w:tplc="D38409FC" w:tentative="1">
      <w:start w:val="1"/>
      <w:numFmt w:val="bullet"/>
      <w:lvlText w:val="•"/>
      <w:lvlJc w:val="left"/>
      <w:pPr>
        <w:tabs>
          <w:tab w:val="num" w:pos="5760"/>
        </w:tabs>
        <w:ind w:left="5760" w:hanging="360"/>
      </w:pPr>
      <w:rPr>
        <w:rFonts w:ascii="Arial" w:hAnsi="Arial" w:hint="default"/>
      </w:rPr>
    </w:lvl>
    <w:lvl w:ilvl="8" w:tplc="461294F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7B3E28"/>
    <w:multiLevelType w:val="hybridMultilevel"/>
    <w:tmpl w:val="11BA6190"/>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4C35AF"/>
    <w:multiLevelType w:val="hybridMultilevel"/>
    <w:tmpl w:val="91F29E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1512F86"/>
    <w:multiLevelType w:val="hybridMultilevel"/>
    <w:tmpl w:val="C8E8EE00"/>
    <w:lvl w:ilvl="0" w:tplc="12C690D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A37865"/>
    <w:multiLevelType w:val="hybridMultilevel"/>
    <w:tmpl w:val="299814D2"/>
    <w:lvl w:ilvl="0" w:tplc="9D94D26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506A32"/>
    <w:multiLevelType w:val="hybridMultilevel"/>
    <w:tmpl w:val="898C68E6"/>
    <w:lvl w:ilvl="0" w:tplc="12C690DA">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C271D1"/>
    <w:multiLevelType w:val="hybridMultilevel"/>
    <w:tmpl w:val="668445F8"/>
    <w:lvl w:ilvl="0" w:tplc="53AC7476">
      <w:numFmt w:val="bullet"/>
      <w:lvlText w:val=""/>
      <w:lvlJc w:val="left"/>
      <w:pPr>
        <w:ind w:left="360" w:hanging="360"/>
      </w:pPr>
      <w:rPr>
        <w:rFonts w:ascii="Symbol" w:eastAsia="Arial" w:hAnsi="Symbo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8AE1CAD"/>
    <w:multiLevelType w:val="hybridMultilevel"/>
    <w:tmpl w:val="97DE9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E474E6"/>
    <w:multiLevelType w:val="hybridMultilevel"/>
    <w:tmpl w:val="77C09FA2"/>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E7B7989"/>
    <w:multiLevelType w:val="hybridMultilevel"/>
    <w:tmpl w:val="9514A944"/>
    <w:lvl w:ilvl="0" w:tplc="12C690DA">
      <w:start w:val="1"/>
      <w:numFmt w:val="bullet"/>
      <w:lvlText w:val="•"/>
      <w:lvlJc w:val="left"/>
      <w:pPr>
        <w:tabs>
          <w:tab w:val="num" w:pos="360"/>
        </w:tabs>
        <w:ind w:left="360" w:hanging="360"/>
      </w:pPr>
      <w:rPr>
        <w:rFonts w:ascii="Arial" w:hAnsi="Arial" w:hint="default"/>
      </w:rPr>
    </w:lvl>
    <w:lvl w:ilvl="1" w:tplc="A1EA2134">
      <w:start w:val="1"/>
      <w:numFmt w:val="bullet"/>
      <w:lvlText w:val="•"/>
      <w:lvlJc w:val="left"/>
      <w:pPr>
        <w:tabs>
          <w:tab w:val="num" w:pos="1080"/>
        </w:tabs>
        <w:ind w:left="1080" w:hanging="360"/>
      </w:pPr>
      <w:rPr>
        <w:rFonts w:ascii="Arial" w:hAnsi="Arial" w:hint="default"/>
      </w:rPr>
    </w:lvl>
    <w:lvl w:ilvl="2" w:tplc="317A97B6" w:tentative="1">
      <w:start w:val="1"/>
      <w:numFmt w:val="bullet"/>
      <w:lvlText w:val="•"/>
      <w:lvlJc w:val="left"/>
      <w:pPr>
        <w:tabs>
          <w:tab w:val="num" w:pos="1800"/>
        </w:tabs>
        <w:ind w:left="1800" w:hanging="360"/>
      </w:pPr>
      <w:rPr>
        <w:rFonts w:ascii="Arial" w:hAnsi="Arial" w:hint="default"/>
      </w:rPr>
    </w:lvl>
    <w:lvl w:ilvl="3" w:tplc="8DE0635C" w:tentative="1">
      <w:start w:val="1"/>
      <w:numFmt w:val="bullet"/>
      <w:lvlText w:val="•"/>
      <w:lvlJc w:val="left"/>
      <w:pPr>
        <w:tabs>
          <w:tab w:val="num" w:pos="2520"/>
        </w:tabs>
        <w:ind w:left="2520" w:hanging="360"/>
      </w:pPr>
      <w:rPr>
        <w:rFonts w:ascii="Arial" w:hAnsi="Arial" w:hint="default"/>
      </w:rPr>
    </w:lvl>
    <w:lvl w:ilvl="4" w:tplc="5298F6CC" w:tentative="1">
      <w:start w:val="1"/>
      <w:numFmt w:val="bullet"/>
      <w:lvlText w:val="•"/>
      <w:lvlJc w:val="left"/>
      <w:pPr>
        <w:tabs>
          <w:tab w:val="num" w:pos="3240"/>
        </w:tabs>
        <w:ind w:left="3240" w:hanging="360"/>
      </w:pPr>
      <w:rPr>
        <w:rFonts w:ascii="Arial" w:hAnsi="Arial" w:hint="default"/>
      </w:rPr>
    </w:lvl>
    <w:lvl w:ilvl="5" w:tplc="8B165EB0" w:tentative="1">
      <w:start w:val="1"/>
      <w:numFmt w:val="bullet"/>
      <w:lvlText w:val="•"/>
      <w:lvlJc w:val="left"/>
      <w:pPr>
        <w:tabs>
          <w:tab w:val="num" w:pos="3960"/>
        </w:tabs>
        <w:ind w:left="3960" w:hanging="360"/>
      </w:pPr>
      <w:rPr>
        <w:rFonts w:ascii="Arial" w:hAnsi="Arial" w:hint="default"/>
      </w:rPr>
    </w:lvl>
    <w:lvl w:ilvl="6" w:tplc="FBC67152" w:tentative="1">
      <w:start w:val="1"/>
      <w:numFmt w:val="bullet"/>
      <w:lvlText w:val="•"/>
      <w:lvlJc w:val="left"/>
      <w:pPr>
        <w:tabs>
          <w:tab w:val="num" w:pos="4680"/>
        </w:tabs>
        <w:ind w:left="4680" w:hanging="360"/>
      </w:pPr>
      <w:rPr>
        <w:rFonts w:ascii="Arial" w:hAnsi="Arial" w:hint="default"/>
      </w:rPr>
    </w:lvl>
    <w:lvl w:ilvl="7" w:tplc="D214EBDE" w:tentative="1">
      <w:start w:val="1"/>
      <w:numFmt w:val="bullet"/>
      <w:lvlText w:val="•"/>
      <w:lvlJc w:val="left"/>
      <w:pPr>
        <w:tabs>
          <w:tab w:val="num" w:pos="5400"/>
        </w:tabs>
        <w:ind w:left="5400" w:hanging="360"/>
      </w:pPr>
      <w:rPr>
        <w:rFonts w:ascii="Arial" w:hAnsi="Arial" w:hint="default"/>
      </w:rPr>
    </w:lvl>
    <w:lvl w:ilvl="8" w:tplc="4D66B2B6" w:tentative="1">
      <w:start w:val="1"/>
      <w:numFmt w:val="bullet"/>
      <w:lvlText w:val="•"/>
      <w:lvlJc w:val="left"/>
      <w:pPr>
        <w:tabs>
          <w:tab w:val="num" w:pos="6120"/>
        </w:tabs>
        <w:ind w:left="6120" w:hanging="360"/>
      </w:pPr>
      <w:rPr>
        <w:rFonts w:ascii="Arial" w:hAnsi="Arial" w:hint="default"/>
      </w:rPr>
    </w:lvl>
  </w:abstractNum>
  <w:num w:numId="1" w16cid:durableId="180903623">
    <w:abstractNumId w:val="9"/>
  </w:num>
  <w:num w:numId="2" w16cid:durableId="2102677132">
    <w:abstractNumId w:val="1"/>
  </w:num>
  <w:num w:numId="3" w16cid:durableId="310212599">
    <w:abstractNumId w:val="4"/>
  </w:num>
  <w:num w:numId="4" w16cid:durableId="416170993">
    <w:abstractNumId w:val="7"/>
  </w:num>
  <w:num w:numId="5" w16cid:durableId="891575750">
    <w:abstractNumId w:val="14"/>
  </w:num>
  <w:num w:numId="6" w16cid:durableId="1714381618">
    <w:abstractNumId w:val="2"/>
  </w:num>
  <w:num w:numId="7" w16cid:durableId="72091027">
    <w:abstractNumId w:val="5"/>
  </w:num>
  <w:num w:numId="8" w16cid:durableId="458303225">
    <w:abstractNumId w:val="10"/>
  </w:num>
  <w:num w:numId="9" w16cid:durableId="496306814">
    <w:abstractNumId w:val="8"/>
  </w:num>
  <w:num w:numId="10" w16cid:durableId="1049843977">
    <w:abstractNumId w:val="3"/>
  </w:num>
  <w:num w:numId="11" w16cid:durableId="1349209276">
    <w:abstractNumId w:val="6"/>
  </w:num>
  <w:num w:numId="12" w16cid:durableId="574508195">
    <w:abstractNumId w:val="0"/>
  </w:num>
  <w:num w:numId="13" w16cid:durableId="1881287006">
    <w:abstractNumId w:val="13"/>
  </w:num>
  <w:num w:numId="14" w16cid:durableId="970088391">
    <w:abstractNumId w:val="11"/>
  </w:num>
  <w:num w:numId="15" w16cid:durableId="2651591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22"/>
    <w:rsid w:val="00014D72"/>
    <w:rsid w:val="00014DBF"/>
    <w:rsid w:val="0003023B"/>
    <w:rsid w:val="00060AA3"/>
    <w:rsid w:val="000624C2"/>
    <w:rsid w:val="00087AC7"/>
    <w:rsid w:val="000B26F7"/>
    <w:rsid w:val="000B68C9"/>
    <w:rsid w:val="000C48B1"/>
    <w:rsid w:val="00103E55"/>
    <w:rsid w:val="0010404E"/>
    <w:rsid w:val="00132E76"/>
    <w:rsid w:val="00137EA8"/>
    <w:rsid w:val="00160517"/>
    <w:rsid w:val="001A618A"/>
    <w:rsid w:val="001B02C6"/>
    <w:rsid w:val="001D35DD"/>
    <w:rsid w:val="001E0BF3"/>
    <w:rsid w:val="001E1B55"/>
    <w:rsid w:val="002650C1"/>
    <w:rsid w:val="0026649B"/>
    <w:rsid w:val="002C77D8"/>
    <w:rsid w:val="00335778"/>
    <w:rsid w:val="0036002C"/>
    <w:rsid w:val="00366EDB"/>
    <w:rsid w:val="003F6DCC"/>
    <w:rsid w:val="00403F08"/>
    <w:rsid w:val="00455A2B"/>
    <w:rsid w:val="00486E6B"/>
    <w:rsid w:val="00491A9E"/>
    <w:rsid w:val="004B0B39"/>
    <w:rsid w:val="004C5FD9"/>
    <w:rsid w:val="004D480A"/>
    <w:rsid w:val="004E55B7"/>
    <w:rsid w:val="00524D82"/>
    <w:rsid w:val="0055366C"/>
    <w:rsid w:val="0057337E"/>
    <w:rsid w:val="00594993"/>
    <w:rsid w:val="00596F8B"/>
    <w:rsid w:val="005A005E"/>
    <w:rsid w:val="005B4F22"/>
    <w:rsid w:val="005C7780"/>
    <w:rsid w:val="005D49B9"/>
    <w:rsid w:val="005E0410"/>
    <w:rsid w:val="005F3D7C"/>
    <w:rsid w:val="006112C8"/>
    <w:rsid w:val="0066034D"/>
    <w:rsid w:val="006809C2"/>
    <w:rsid w:val="006A1ADE"/>
    <w:rsid w:val="006C4DDC"/>
    <w:rsid w:val="006F4104"/>
    <w:rsid w:val="006F5DC2"/>
    <w:rsid w:val="007203AC"/>
    <w:rsid w:val="00722789"/>
    <w:rsid w:val="00740622"/>
    <w:rsid w:val="00752FFE"/>
    <w:rsid w:val="00852C4C"/>
    <w:rsid w:val="00855A71"/>
    <w:rsid w:val="008576FF"/>
    <w:rsid w:val="00877448"/>
    <w:rsid w:val="00894757"/>
    <w:rsid w:val="008C1932"/>
    <w:rsid w:val="008D1147"/>
    <w:rsid w:val="008E1F0A"/>
    <w:rsid w:val="00905C73"/>
    <w:rsid w:val="00925F3A"/>
    <w:rsid w:val="0096635B"/>
    <w:rsid w:val="00994957"/>
    <w:rsid w:val="009A120B"/>
    <w:rsid w:val="009B49E1"/>
    <w:rsid w:val="009C67E7"/>
    <w:rsid w:val="009D05B0"/>
    <w:rsid w:val="009D77F3"/>
    <w:rsid w:val="009E52DB"/>
    <w:rsid w:val="009F4DCF"/>
    <w:rsid w:val="00A0243F"/>
    <w:rsid w:val="00A31F4C"/>
    <w:rsid w:val="00A5129F"/>
    <w:rsid w:val="00A55129"/>
    <w:rsid w:val="00A733D3"/>
    <w:rsid w:val="00A76341"/>
    <w:rsid w:val="00AA050C"/>
    <w:rsid w:val="00AA3135"/>
    <w:rsid w:val="00AA5E7F"/>
    <w:rsid w:val="00AB6921"/>
    <w:rsid w:val="00AB6F6D"/>
    <w:rsid w:val="00AD0F21"/>
    <w:rsid w:val="00AD39DA"/>
    <w:rsid w:val="00B05E48"/>
    <w:rsid w:val="00B50660"/>
    <w:rsid w:val="00B62211"/>
    <w:rsid w:val="00B66C6B"/>
    <w:rsid w:val="00B84320"/>
    <w:rsid w:val="00BA7AC3"/>
    <w:rsid w:val="00BE3BF0"/>
    <w:rsid w:val="00C02C13"/>
    <w:rsid w:val="00C06201"/>
    <w:rsid w:val="00C23B5D"/>
    <w:rsid w:val="00C522BE"/>
    <w:rsid w:val="00C66264"/>
    <w:rsid w:val="00C72046"/>
    <w:rsid w:val="00C979CC"/>
    <w:rsid w:val="00CE71A5"/>
    <w:rsid w:val="00D31A00"/>
    <w:rsid w:val="00D40A2A"/>
    <w:rsid w:val="00D53A8C"/>
    <w:rsid w:val="00D571C7"/>
    <w:rsid w:val="00DA7476"/>
    <w:rsid w:val="00DC7AEB"/>
    <w:rsid w:val="00DE134F"/>
    <w:rsid w:val="00DE2784"/>
    <w:rsid w:val="00DE4B69"/>
    <w:rsid w:val="00DF121E"/>
    <w:rsid w:val="00E214DF"/>
    <w:rsid w:val="00E50264"/>
    <w:rsid w:val="00E9631D"/>
    <w:rsid w:val="00EA3DDA"/>
    <w:rsid w:val="00EB30CB"/>
    <w:rsid w:val="00EC220C"/>
    <w:rsid w:val="00EC434F"/>
    <w:rsid w:val="00EC5A79"/>
    <w:rsid w:val="00F12F3B"/>
    <w:rsid w:val="00F17CB7"/>
    <w:rsid w:val="00F32664"/>
    <w:rsid w:val="00F4682F"/>
    <w:rsid w:val="00F8669A"/>
    <w:rsid w:val="00F9063F"/>
    <w:rsid w:val="00FA3B02"/>
    <w:rsid w:val="00FB70E1"/>
    <w:rsid w:val="00FE126C"/>
    <w:rsid w:val="1936B440"/>
    <w:rsid w:val="2F372DEB"/>
    <w:rsid w:val="40AC41C3"/>
    <w:rsid w:val="5C817A9E"/>
    <w:rsid w:val="5D614F38"/>
    <w:rsid w:val="61B1899A"/>
    <w:rsid w:val="6D263C1B"/>
    <w:rsid w:val="7CD20004"/>
    <w:rsid w:val="7F78D18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26745"/>
  <w15:chartTrackingRefBased/>
  <w15:docId w15:val="{F0575C60-DB45-4545-AA15-14B9BB56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F22"/>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22"/>
    <w:pPr>
      <w:widowControl w:val="0"/>
      <w:autoSpaceDE w:val="0"/>
      <w:autoSpaceDN w:val="0"/>
      <w:spacing w:after="0" w:line="240" w:lineRule="auto"/>
    </w:pPr>
    <w:rPr>
      <w:rFonts w:ascii="Arial" w:eastAsia="Arial" w:hAnsi="Arial" w:cs="Arial"/>
    </w:rPr>
  </w:style>
  <w:style w:type="table" w:styleId="TableGrid">
    <w:name w:val="Table Grid"/>
    <w:basedOn w:val="TableNormal"/>
    <w:uiPriority w:val="39"/>
    <w:rsid w:val="005B4F2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4F2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4F22"/>
    <w:pPr>
      <w:tabs>
        <w:tab w:val="center" w:pos="4513"/>
        <w:tab w:val="right" w:pos="9026"/>
      </w:tabs>
    </w:pPr>
  </w:style>
  <w:style w:type="character" w:customStyle="1" w:styleId="HeaderChar">
    <w:name w:val="Header Char"/>
    <w:basedOn w:val="DefaultParagraphFont"/>
    <w:link w:val="Header"/>
    <w:uiPriority w:val="99"/>
    <w:rsid w:val="005B4F22"/>
    <w:rPr>
      <w:rFonts w:ascii="Arial" w:eastAsia="Arial" w:hAnsi="Arial" w:cs="Arial"/>
    </w:rPr>
  </w:style>
  <w:style w:type="paragraph" w:styleId="Footer">
    <w:name w:val="footer"/>
    <w:basedOn w:val="Normal"/>
    <w:link w:val="FooterChar"/>
    <w:uiPriority w:val="99"/>
    <w:unhideWhenUsed/>
    <w:rsid w:val="005B4F22"/>
    <w:pPr>
      <w:tabs>
        <w:tab w:val="center" w:pos="4513"/>
        <w:tab w:val="right" w:pos="9026"/>
      </w:tabs>
    </w:pPr>
  </w:style>
  <w:style w:type="character" w:customStyle="1" w:styleId="FooterChar">
    <w:name w:val="Footer Char"/>
    <w:basedOn w:val="DefaultParagraphFont"/>
    <w:link w:val="Footer"/>
    <w:uiPriority w:val="99"/>
    <w:rsid w:val="005B4F22"/>
    <w:rPr>
      <w:rFonts w:ascii="Arial" w:eastAsia="Arial" w:hAnsi="Arial" w:cs="Arial"/>
    </w:rPr>
  </w:style>
  <w:style w:type="paragraph" w:styleId="ListParagraph">
    <w:name w:val="List Paragraph"/>
    <w:basedOn w:val="Normal"/>
    <w:uiPriority w:val="34"/>
    <w:qFormat/>
    <w:rsid w:val="00C02C13"/>
    <w:pPr>
      <w:ind w:left="720"/>
      <w:contextualSpacing/>
    </w:pPr>
  </w:style>
  <w:style w:type="character" w:styleId="PageNumber">
    <w:name w:val="page number"/>
    <w:basedOn w:val="DefaultParagraphFont"/>
    <w:uiPriority w:val="99"/>
    <w:semiHidden/>
    <w:unhideWhenUsed/>
    <w:rsid w:val="00594993"/>
  </w:style>
  <w:style w:type="character" w:customStyle="1" w:styleId="normaltextrun">
    <w:name w:val="normaltextrun"/>
    <w:basedOn w:val="DefaultParagraphFont"/>
    <w:rsid w:val="00DE4B69"/>
  </w:style>
  <w:style w:type="paragraph" w:customStyle="1" w:styleId="paragraph">
    <w:name w:val="paragraph"/>
    <w:basedOn w:val="Normal"/>
    <w:rsid w:val="00DE4B69"/>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eop">
    <w:name w:val="eop"/>
    <w:basedOn w:val="DefaultParagraphFont"/>
    <w:rsid w:val="00DE4B69"/>
  </w:style>
  <w:style w:type="paragraph" w:styleId="Revision">
    <w:name w:val="Revision"/>
    <w:hidden/>
    <w:uiPriority w:val="99"/>
    <w:semiHidden/>
    <w:rsid w:val="008576FF"/>
    <w:pPr>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87412">
      <w:bodyDiv w:val="1"/>
      <w:marLeft w:val="0"/>
      <w:marRight w:val="0"/>
      <w:marTop w:val="0"/>
      <w:marBottom w:val="0"/>
      <w:divBdr>
        <w:top w:val="none" w:sz="0" w:space="0" w:color="auto"/>
        <w:left w:val="none" w:sz="0" w:space="0" w:color="auto"/>
        <w:bottom w:val="none" w:sz="0" w:space="0" w:color="auto"/>
        <w:right w:val="none" w:sz="0" w:space="0" w:color="auto"/>
      </w:divBdr>
    </w:div>
    <w:div w:id="495851164">
      <w:bodyDiv w:val="1"/>
      <w:marLeft w:val="0"/>
      <w:marRight w:val="0"/>
      <w:marTop w:val="0"/>
      <w:marBottom w:val="0"/>
      <w:divBdr>
        <w:top w:val="none" w:sz="0" w:space="0" w:color="auto"/>
        <w:left w:val="none" w:sz="0" w:space="0" w:color="auto"/>
        <w:bottom w:val="none" w:sz="0" w:space="0" w:color="auto"/>
        <w:right w:val="none" w:sz="0" w:space="0" w:color="auto"/>
      </w:divBdr>
    </w:div>
    <w:div w:id="877860587">
      <w:bodyDiv w:val="1"/>
      <w:marLeft w:val="0"/>
      <w:marRight w:val="0"/>
      <w:marTop w:val="0"/>
      <w:marBottom w:val="0"/>
      <w:divBdr>
        <w:top w:val="none" w:sz="0" w:space="0" w:color="auto"/>
        <w:left w:val="none" w:sz="0" w:space="0" w:color="auto"/>
        <w:bottom w:val="none" w:sz="0" w:space="0" w:color="auto"/>
        <w:right w:val="none" w:sz="0" w:space="0" w:color="auto"/>
      </w:divBdr>
    </w:div>
    <w:div w:id="115109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6C96B5867DAD4AB7D265B8E942B5B0" ma:contentTypeVersion="14" ma:contentTypeDescription="Create a new document." ma:contentTypeScope="" ma:versionID="2b984a32b9753a2cef05bbec74d3eb0f">
  <xsd:schema xmlns:xsd="http://www.w3.org/2001/XMLSchema" xmlns:xs="http://www.w3.org/2001/XMLSchema" xmlns:p="http://schemas.microsoft.com/office/2006/metadata/properties" xmlns:ns1="http://schemas.microsoft.com/sharepoint/v3" xmlns:ns2="9cc9b5e5-3fc4-461d-b6c1-e5b65f5efcf2" xmlns:ns3="3fd66ddc-4b3e-41d6-afe2-e040df1ba44e" targetNamespace="http://schemas.microsoft.com/office/2006/metadata/properties" ma:root="true" ma:fieldsID="f49d29a8c54eb021b745eec6054ab354" ns1:_="" ns2:_="" ns3:_="">
    <xsd:import namespace="http://schemas.microsoft.com/sharepoint/v3"/>
    <xsd:import namespace="9cc9b5e5-3fc4-461d-b6c1-e5b65f5efcf2"/>
    <xsd:import namespace="3fd66ddc-4b3e-41d6-afe2-e040df1ba44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c9b5e5-3fc4-461d-b6c1-e5b65f5ef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d66ddc-4b3e-41d6-afe2-e040df1ba44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cc9b5e5-3fc4-461d-b6c1-e5b65f5efcf2">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6C392-FD7C-4B7A-9D0A-366504FB5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c9b5e5-3fc4-461d-b6c1-e5b65f5efcf2"/>
    <ds:schemaRef ds:uri="3fd66ddc-4b3e-41d6-afe2-e040df1ba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79A11A-0091-406B-8F44-7C414B323B82}">
  <ds:schemaRefs>
    <ds:schemaRef ds:uri="http://schemas.microsoft.com/office/2006/metadata/properties"/>
    <ds:schemaRef ds:uri="http://schemas.microsoft.com/office/infopath/2007/PartnerControls"/>
    <ds:schemaRef ds:uri="http://schemas.microsoft.com/sharepoint/v3"/>
    <ds:schemaRef ds:uri="9cc9b5e5-3fc4-461d-b6c1-e5b65f5efcf2"/>
  </ds:schemaRefs>
</ds:datastoreItem>
</file>

<file path=customXml/itemProps3.xml><?xml version="1.0" encoding="utf-8"?>
<ds:datastoreItem xmlns:ds="http://schemas.openxmlformats.org/officeDocument/2006/customXml" ds:itemID="{0C3E2025-B234-4A98-AD13-A1CCC3518F92}">
  <ds:schemaRefs>
    <ds:schemaRef ds:uri="http://schemas.microsoft.com/sharepoint/v3/contenttype/forms"/>
  </ds:schemaRefs>
</ds:datastoreItem>
</file>

<file path=customXml/itemProps4.xml><?xml version="1.0" encoding="utf-8"?>
<ds:datastoreItem xmlns:ds="http://schemas.openxmlformats.org/officeDocument/2006/customXml" ds:itemID="{9534639F-02B0-479B-9DB6-EC9018C4C3B7}">
  <ds:schemaRefs>
    <ds:schemaRef ds:uri="http://schemas.openxmlformats.org/officeDocument/2006/bibliography"/>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Pilling</dc:creator>
  <cp:keywords/>
  <dc:description/>
  <cp:lastModifiedBy>SIMPSON, Thomas (NHS GREATER MANCHESTER ICB - 02H)</cp:lastModifiedBy>
  <cp:revision>2</cp:revision>
  <dcterms:created xsi:type="dcterms:W3CDTF">2025-03-25T11:04:00Z</dcterms:created>
  <dcterms:modified xsi:type="dcterms:W3CDTF">2025-03-25T11:04:00Z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0x010100016C96B5867DAD4AB7D265B8E942B5B0</vt:lpwstr>
  </property>
  <property fmtid="{D5CDD505-2E9C-101B-9397-08002B2CF9AE}" pid="3" name="MediaServiceImageTags">
    <vt:lpwstr/>
  </property>
</Properties>
</file>